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36F2" w14:textId="77777777" w:rsidR="004A276D" w:rsidRPr="00527EE5" w:rsidRDefault="004A276D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1"/>
      </w:tblGrid>
      <w:tr w:rsidR="004A276D" w:rsidRPr="00527EE5" w14:paraId="787EB7E9" w14:textId="77777777" w:rsidTr="008600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ED917B9" w14:textId="6D93DA66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Phase:</w:t>
            </w:r>
            <w:r w:rsidR="0051365B"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96FFE62" w14:textId="77777777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Led by:</w:t>
            </w:r>
          </w:p>
        </w:tc>
      </w:tr>
      <w:tr w:rsidR="004A276D" w:rsidRPr="00527EE5" w14:paraId="7D403123" w14:textId="77777777" w:rsidTr="001568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C55" w14:textId="7BD1C62A" w:rsidR="004A276D" w:rsidRPr="00527EE5" w:rsidRDefault="00B62729" w:rsidP="00362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Upper Key Stage T</w:t>
            </w:r>
            <w:r w:rsidR="004A156B">
              <w:rPr>
                <w:rFonts w:asciiTheme="minorHAnsi" w:hAnsiTheme="minorHAnsi" w:cstheme="minorHAnsi"/>
                <w:sz w:val="22"/>
                <w:szCs w:val="22"/>
              </w:rPr>
              <w:t>wo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7EE" w14:textId="729C20D3" w:rsidR="004A276D" w:rsidRPr="00527EE5" w:rsidRDefault="00FD76A0" w:rsidP="00156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 Evans</w:t>
            </w:r>
          </w:p>
        </w:tc>
      </w:tr>
    </w:tbl>
    <w:p w14:paraId="1818148D" w14:textId="77777777" w:rsidR="004A276D" w:rsidRPr="00527EE5" w:rsidRDefault="004A276D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5921"/>
      </w:tblGrid>
      <w:tr w:rsidR="00FB739A" w:rsidRPr="00527EE5" w14:paraId="50C2A1D9" w14:textId="77777777" w:rsidTr="0086003D">
        <w:tc>
          <w:tcPr>
            <w:tcW w:w="16147" w:type="dxa"/>
            <w:shd w:val="clear" w:color="auto" w:fill="943634" w:themeFill="accent2" w:themeFillShade="BF"/>
          </w:tcPr>
          <w:p w14:paraId="2EF6E52C" w14:textId="7C8CFE3C" w:rsidR="00FB739A" w:rsidRPr="00527EE5" w:rsidRDefault="00FB739A" w:rsidP="00FA533B">
            <w:pPr>
              <w:tabs>
                <w:tab w:val="left" w:pos="2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Context Statement:</w:t>
            </w: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FB739A" w:rsidRPr="00527EE5" w14:paraId="71B5CAF6" w14:textId="77777777" w:rsidTr="004A276D">
        <w:tc>
          <w:tcPr>
            <w:tcW w:w="16147" w:type="dxa"/>
            <w:shd w:val="clear" w:color="auto" w:fill="F2F2F2" w:themeFill="background1" w:themeFillShade="F2"/>
          </w:tcPr>
          <w:p w14:paraId="7ADE6D79" w14:textId="51C3FAC8" w:rsidR="004A156B" w:rsidRPr="00F727E8" w:rsidRDefault="004A156B" w:rsidP="00D876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4B43">
              <w:rPr>
                <w:rFonts w:asciiTheme="minorHAnsi" w:hAnsiTheme="minorHAnsi" w:cstheme="minorHAnsi"/>
                <w:sz w:val="22"/>
                <w:szCs w:val="22"/>
              </w:rPr>
              <w:t>pper Key Stage Two consists of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classes across the two sites. Teaching staff </w:t>
            </w:r>
            <w:r w:rsidR="00214A5E">
              <w:rPr>
                <w:rFonts w:asciiTheme="minorHAnsi" w:hAnsiTheme="minorHAnsi" w:cstheme="minorHAnsi"/>
                <w:sz w:val="22"/>
                <w:szCs w:val="22"/>
              </w:rPr>
              <w:t xml:space="preserve">consist </w:t>
            </w:r>
            <w:r w:rsidR="00B15B5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214A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B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27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B87"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r w:rsidR="00831AC9">
              <w:rPr>
                <w:rFonts w:asciiTheme="minorHAnsi" w:hAnsiTheme="minorHAnsi" w:cstheme="minorHAnsi"/>
                <w:sz w:val="22"/>
                <w:szCs w:val="22"/>
              </w:rPr>
              <w:t>, 1</w:t>
            </w:r>
            <w:r w:rsidR="00310B87">
              <w:rPr>
                <w:rFonts w:asciiTheme="minorHAnsi" w:hAnsiTheme="minorHAnsi" w:cstheme="minorHAnsi"/>
                <w:sz w:val="22"/>
                <w:szCs w:val="22"/>
              </w:rPr>
              <w:t xml:space="preserve"> RQT and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experienced teachers</w:t>
            </w:r>
            <w:r w:rsidR="00B62729">
              <w:rPr>
                <w:rFonts w:asciiTheme="minorHAnsi" w:hAnsiTheme="minorHAnsi" w:cstheme="minorHAnsi"/>
                <w:sz w:val="22"/>
                <w:szCs w:val="22"/>
              </w:rPr>
              <w:t>, including</w:t>
            </w:r>
            <w:r w:rsidR="00310B87">
              <w:rPr>
                <w:rFonts w:asciiTheme="minorHAnsi" w:hAnsiTheme="minorHAnsi" w:cstheme="minorHAnsi"/>
                <w:sz w:val="22"/>
                <w:szCs w:val="22"/>
              </w:rPr>
              <w:t xml:space="preserve"> the Federation Lead Practi</w:t>
            </w:r>
            <w:r w:rsidR="008051F2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310B87">
              <w:rPr>
                <w:rFonts w:asciiTheme="minorHAnsi" w:hAnsiTheme="minorHAnsi" w:cstheme="minorHAnsi"/>
                <w:sz w:val="22"/>
                <w:szCs w:val="22"/>
              </w:rPr>
              <w:t>oner</w:t>
            </w:r>
            <w:r w:rsidR="000257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72BBE">
              <w:rPr>
                <w:rFonts w:asciiTheme="minorHAnsi" w:hAnsiTheme="minorHAnsi" w:cstheme="minorHAnsi"/>
                <w:sz w:val="22"/>
                <w:szCs w:val="22"/>
              </w:rPr>
              <w:t xml:space="preserve">the Federation </w:t>
            </w:r>
            <w:r w:rsidR="000257D8">
              <w:rPr>
                <w:rFonts w:asciiTheme="minorHAnsi" w:hAnsiTheme="minorHAnsi" w:cstheme="minorHAnsi"/>
                <w:sz w:val="22"/>
                <w:szCs w:val="22"/>
              </w:rPr>
              <w:t xml:space="preserve">Maths lead and </w:t>
            </w:r>
            <w:r w:rsidR="00672BBE">
              <w:rPr>
                <w:rFonts w:asciiTheme="minorHAnsi" w:hAnsiTheme="minorHAnsi" w:cstheme="minorHAnsi"/>
                <w:sz w:val="22"/>
                <w:szCs w:val="22"/>
              </w:rPr>
              <w:t xml:space="preserve">the Federation </w:t>
            </w:r>
            <w:r w:rsidR="000257D8">
              <w:rPr>
                <w:rFonts w:asciiTheme="minorHAnsi" w:hAnsiTheme="minorHAnsi" w:cstheme="minorHAnsi"/>
                <w:sz w:val="22"/>
                <w:szCs w:val="22"/>
              </w:rPr>
              <w:t>English lead.</w:t>
            </w:r>
            <w:r w:rsidR="008051F2">
              <w:rPr>
                <w:rFonts w:asciiTheme="minorHAnsi" w:hAnsiTheme="minorHAnsi" w:cstheme="minorHAnsi"/>
                <w:sz w:val="22"/>
                <w:szCs w:val="22"/>
              </w:rPr>
              <w:t xml:space="preserve"> The ECT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receiving a fully comprehensive ECT training program (supported by the Leeds Teaching Hub) which includes 1 hour of Peer Mentoring and a bespoke </w:t>
            </w:r>
            <w:r w:rsidR="00214A5E">
              <w:rPr>
                <w:rFonts w:asciiTheme="minorHAnsi" w:hAnsiTheme="minorHAnsi" w:cstheme="minorHAnsi"/>
                <w:sz w:val="22"/>
                <w:szCs w:val="22"/>
              </w:rPr>
              <w:t>in-house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A5E">
              <w:rPr>
                <w:rFonts w:asciiTheme="minorHAnsi" w:hAnsiTheme="minorHAnsi" w:cstheme="minorHAnsi"/>
                <w:sz w:val="22"/>
                <w:szCs w:val="22"/>
              </w:rPr>
              <w:t>program with foci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identified by SLT </w:t>
            </w:r>
            <w:r w:rsidR="00214A5E">
              <w:rPr>
                <w:rFonts w:asciiTheme="minorHAnsi" w:hAnsiTheme="minorHAnsi" w:cstheme="minorHAnsi"/>
                <w:sz w:val="22"/>
                <w:szCs w:val="22"/>
              </w:rPr>
              <w:t>and from Peer Mentor feedback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27E8">
              <w:rPr>
                <w:rFonts w:asciiTheme="minorHAnsi" w:hAnsiTheme="minorHAnsi"/>
                <w:sz w:val="22"/>
                <w:szCs w:val="22"/>
              </w:rPr>
              <w:t>A</w:t>
            </w:r>
            <w:r w:rsidR="00F727E8" w:rsidRPr="000C3D15">
              <w:rPr>
                <w:rFonts w:asciiTheme="minorHAnsi" w:hAnsiTheme="minorHAnsi"/>
                <w:sz w:val="22"/>
                <w:szCs w:val="22"/>
              </w:rPr>
              <w:t xml:space="preserve">ll Upper Key Stage </w:t>
            </w:r>
            <w:r w:rsidR="00F727E8">
              <w:rPr>
                <w:rFonts w:asciiTheme="minorHAnsi" w:hAnsiTheme="minorHAnsi"/>
                <w:sz w:val="22"/>
                <w:szCs w:val="22"/>
              </w:rPr>
              <w:t>Two</w:t>
            </w:r>
            <w:r w:rsidR="00F727E8" w:rsidRPr="000C3D15">
              <w:rPr>
                <w:rFonts w:asciiTheme="minorHAnsi" w:hAnsiTheme="minorHAnsi"/>
                <w:sz w:val="22"/>
                <w:szCs w:val="22"/>
              </w:rPr>
              <w:t xml:space="preserve"> classes have </w:t>
            </w:r>
            <w:r w:rsidR="00F727E8">
              <w:rPr>
                <w:rFonts w:asciiTheme="minorHAnsi" w:hAnsiTheme="minorHAnsi"/>
                <w:sz w:val="22"/>
                <w:szCs w:val="22"/>
              </w:rPr>
              <w:t>at least one experienced</w:t>
            </w:r>
            <w:r w:rsidR="00F727E8" w:rsidRPr="000C3D15">
              <w:rPr>
                <w:rFonts w:asciiTheme="minorHAnsi" w:hAnsiTheme="minorHAnsi"/>
                <w:sz w:val="22"/>
                <w:szCs w:val="22"/>
              </w:rPr>
              <w:t xml:space="preserve"> Teaching Assistant </w:t>
            </w:r>
            <w:r w:rsidR="00F727E8">
              <w:rPr>
                <w:rFonts w:asciiTheme="minorHAnsi" w:hAnsiTheme="minorHAnsi"/>
                <w:sz w:val="22"/>
                <w:szCs w:val="22"/>
              </w:rPr>
              <w:t>working with them throughout the day.</w:t>
            </w:r>
            <w:r w:rsidR="008051F2">
              <w:rPr>
                <w:rFonts w:asciiTheme="minorHAnsi" w:hAnsiTheme="minorHAnsi"/>
                <w:sz w:val="22"/>
                <w:szCs w:val="22"/>
              </w:rPr>
              <w:t xml:space="preserve"> At Windmill</w:t>
            </w:r>
            <w:r w:rsidR="00CD14DB">
              <w:rPr>
                <w:rFonts w:asciiTheme="minorHAnsi" w:hAnsiTheme="minorHAnsi"/>
                <w:sz w:val="22"/>
                <w:szCs w:val="22"/>
              </w:rPr>
              <w:t>, we have a number of children who attend small group sessions</w:t>
            </w:r>
            <w:r w:rsidR="00F179E7">
              <w:rPr>
                <w:rFonts w:asciiTheme="minorHAnsi" w:hAnsiTheme="minorHAnsi"/>
                <w:sz w:val="22"/>
                <w:szCs w:val="22"/>
              </w:rPr>
              <w:t>/SEND provision</w:t>
            </w:r>
            <w:r w:rsidR="00CD14DB">
              <w:rPr>
                <w:rFonts w:asciiTheme="minorHAnsi" w:hAnsiTheme="minorHAnsi"/>
                <w:sz w:val="22"/>
                <w:szCs w:val="22"/>
              </w:rPr>
              <w:t xml:space="preserve"> for core subjects</w:t>
            </w:r>
            <w:r w:rsidR="008051F2">
              <w:rPr>
                <w:rFonts w:asciiTheme="minorHAnsi" w:hAnsiTheme="minorHAnsi"/>
                <w:sz w:val="22"/>
                <w:szCs w:val="22"/>
              </w:rPr>
              <w:t>. There, eight Year 6 and two Year 5</w:t>
            </w:r>
            <w:r w:rsidR="00CD14DB">
              <w:rPr>
                <w:rFonts w:asciiTheme="minorHAnsi" w:hAnsiTheme="minorHAnsi"/>
                <w:sz w:val="22"/>
                <w:szCs w:val="22"/>
              </w:rPr>
              <w:t xml:space="preserve"> chil</w:t>
            </w:r>
            <w:r w:rsidR="00F179E7">
              <w:rPr>
                <w:rFonts w:asciiTheme="minorHAnsi" w:hAnsiTheme="minorHAnsi"/>
                <w:sz w:val="22"/>
                <w:szCs w:val="22"/>
              </w:rPr>
              <w:t>dre</w:t>
            </w:r>
            <w:r w:rsidR="008051F2">
              <w:rPr>
                <w:rFonts w:asciiTheme="minorHAnsi" w:hAnsiTheme="minorHAnsi"/>
                <w:sz w:val="22"/>
                <w:szCs w:val="22"/>
              </w:rPr>
              <w:t>n attend Sunshine group and six Year 5 children attend Doves</w:t>
            </w:r>
            <w:r w:rsidR="00CD14DB">
              <w:rPr>
                <w:rFonts w:asciiTheme="minorHAnsi" w:hAnsiTheme="minorHAnsi"/>
                <w:sz w:val="22"/>
                <w:szCs w:val="22"/>
              </w:rPr>
              <w:t xml:space="preserve"> group</w:t>
            </w:r>
            <w:r w:rsidR="008051F2">
              <w:rPr>
                <w:rFonts w:asciiTheme="minorHAnsi" w:hAnsiTheme="minorHAnsi"/>
                <w:sz w:val="22"/>
                <w:szCs w:val="22"/>
              </w:rPr>
              <w:t>.</w:t>
            </w:r>
            <w:r w:rsidR="00F624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1F2">
              <w:rPr>
                <w:rFonts w:asciiTheme="minorHAnsi" w:hAnsiTheme="minorHAnsi"/>
                <w:sz w:val="22"/>
                <w:szCs w:val="22"/>
              </w:rPr>
              <w:t>These sessions are planned for and delivered by experienced HLTAs, who work together and alongside the class teachers to create and a bespoke differentiated, yet ambitious, curriculum for these core subjects. At Low Road, targeted children Forest School sessions; this will be delivered by an experienced HLTA.</w:t>
            </w:r>
          </w:p>
          <w:p w14:paraId="2C2B664B" w14:textId="62EFA9CA" w:rsidR="007E6872" w:rsidRDefault="007E6872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5D356" w14:textId="22F064AE" w:rsidR="00214A5E" w:rsidRDefault="00214A5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Breakd</w:t>
            </w:r>
            <w:r w:rsidR="00FD76A0">
              <w:rPr>
                <w:rFonts w:asciiTheme="minorHAnsi" w:hAnsiTheme="minorHAnsi" w:cstheme="minorHAnsi"/>
                <w:sz w:val="22"/>
                <w:szCs w:val="22"/>
              </w:rPr>
              <w:t>own of classes (September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tbl>
            <w:tblPr>
              <w:tblpPr w:leftFromText="180" w:rightFromText="180" w:vertAnchor="text" w:horzAnchor="margin" w:tblpY="51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764"/>
              <w:gridCol w:w="1770"/>
              <w:gridCol w:w="1761"/>
              <w:gridCol w:w="1689"/>
              <w:gridCol w:w="1686"/>
              <w:gridCol w:w="1739"/>
              <w:gridCol w:w="1852"/>
              <w:gridCol w:w="1736"/>
            </w:tblGrid>
            <w:tr w:rsidR="00214A5E" w:rsidRPr="00214A5E" w14:paraId="6E3A974D" w14:textId="77777777" w:rsidTr="00214A5E">
              <w:tc>
                <w:tcPr>
                  <w:tcW w:w="541" w:type="pct"/>
                </w:tcPr>
                <w:p w14:paraId="654286F9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WINDMILL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4440E8DB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NOR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0931F0B4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5BEBE662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03F211E6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78A5654A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EAL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7C2BC5AF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SEN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364BC9E1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Attend SEN group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148C8798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LAC</w:t>
                  </w:r>
                </w:p>
              </w:tc>
            </w:tr>
            <w:tr w:rsidR="00214A5E" w:rsidRPr="00214A5E" w14:paraId="3F40BB8A" w14:textId="77777777" w:rsidTr="00214A5E">
              <w:tc>
                <w:tcPr>
                  <w:tcW w:w="541" w:type="pct"/>
                </w:tcPr>
                <w:p w14:paraId="53D63E97" w14:textId="77777777" w:rsidR="00214A5E" w:rsidRPr="00214A5E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14A5E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Year 5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5D2C14B3" w14:textId="0EE8B97E" w:rsidR="00214A5E" w:rsidRPr="00214A5E" w:rsidRDefault="00D838FC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7F22FBCD" w14:textId="1E8D365C" w:rsidR="00214A5E" w:rsidRPr="00214A5E" w:rsidRDefault="00647269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7C22F36F" w14:textId="339F5B20" w:rsidR="00214A5E" w:rsidRPr="00214A5E" w:rsidRDefault="00647269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63E1F537" w14:textId="63813242" w:rsidR="00214A5E" w:rsidRPr="00214A5E" w:rsidRDefault="00B41A59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6E891D9D" w14:textId="7480367E" w:rsidR="00214A5E" w:rsidRPr="00214A5E" w:rsidRDefault="00510BC3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1D41F9B0" w14:textId="5DEFD8DE" w:rsidR="00214A5E" w:rsidRPr="00214A5E" w:rsidRDefault="00647269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07148CEA" w14:textId="3849D27D" w:rsidR="00214A5E" w:rsidRPr="00214A5E" w:rsidRDefault="00D838FC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3A6E946C" w14:textId="2A6B1E0C" w:rsidR="00214A5E" w:rsidRPr="00214A5E" w:rsidRDefault="00647269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214A5E" w:rsidRPr="00214A5E" w14:paraId="4A629580" w14:textId="77777777" w:rsidTr="00214A5E">
              <w:tc>
                <w:tcPr>
                  <w:tcW w:w="541" w:type="pct"/>
                </w:tcPr>
                <w:p w14:paraId="316781D6" w14:textId="77777777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Year 6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6AECCD60" w14:textId="1F1C225B" w:rsidR="00214A5E" w:rsidRPr="000257D8" w:rsidRDefault="00D838FC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198FC587" w14:textId="7F0A7045" w:rsidR="00214A5E" w:rsidRPr="000257D8" w:rsidRDefault="003F5392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3B998404" w14:textId="4CBDE969" w:rsidR="00214A5E" w:rsidRPr="000257D8" w:rsidRDefault="003F5392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0B6A5B3B" w14:textId="4CF29783" w:rsidR="00214A5E" w:rsidRPr="000257D8" w:rsidRDefault="00322D9B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0A3AAEBE" w14:textId="380B11BC" w:rsidR="00214A5E" w:rsidRPr="000257D8" w:rsidRDefault="00310358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084E6D5E" w14:textId="5108A686" w:rsidR="00214A5E" w:rsidRPr="000257D8" w:rsidRDefault="00310358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43C6676B" w14:textId="031CD357" w:rsidR="00214A5E" w:rsidRPr="000257D8" w:rsidRDefault="00D838FC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2D7A5D85" w14:textId="7BE13D19" w:rsidR="00214A5E" w:rsidRPr="000257D8" w:rsidRDefault="00D74A92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214A5E" w:rsidRPr="00214A5E" w14:paraId="0F8BE8C9" w14:textId="77777777" w:rsidTr="00214A5E">
              <w:tc>
                <w:tcPr>
                  <w:tcW w:w="541" w:type="pct"/>
                </w:tcPr>
                <w:p w14:paraId="60875F33" w14:textId="29C0F22E" w:rsidR="00214A5E" w:rsidRPr="000257D8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Low Road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445C1393" w14:textId="1D06FE6E" w:rsidR="00214A5E" w:rsidRPr="000257D8" w:rsidRDefault="00214A5E" w:rsidP="00214A5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NOR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1B67C566" w14:textId="305B8792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Boys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770C891B" w14:textId="426CBC10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36F4D3B6" w14:textId="60778B5A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696AAD2E" w14:textId="6529D7DB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EAL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3C82A32A" w14:textId="114AD66F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SEN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7ABA59D9" w14:textId="7F112D0C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Attend SEN group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5A15C0A2" w14:textId="50FA2590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LAC</w:t>
                  </w:r>
                </w:p>
              </w:tc>
            </w:tr>
            <w:tr w:rsidR="00214A5E" w:rsidRPr="006F3C48" w14:paraId="13C2508B" w14:textId="77777777" w:rsidTr="00214A5E">
              <w:tc>
                <w:tcPr>
                  <w:tcW w:w="541" w:type="pct"/>
                </w:tcPr>
                <w:p w14:paraId="0A4DB1D7" w14:textId="224CB976" w:rsidR="00214A5E" w:rsidRPr="000257D8" w:rsidRDefault="00214A5E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Year 5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61AC3402" w14:textId="1BCAF9E7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265425B1" w14:textId="5995B9AC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0536BF89" w14:textId="77D4DC36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205EA225" w14:textId="5DF21802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697F21D5" w14:textId="4A79A56A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4D41D1A7" w14:textId="3C10E8EC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7114D55F" w14:textId="37CBB6CA" w:rsidR="00214A5E" w:rsidRPr="000257D8" w:rsidRDefault="006D3E97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474A9852" w14:textId="0DF2361B" w:rsidR="00214A5E" w:rsidRPr="000257D8" w:rsidRDefault="00E926F0" w:rsidP="00214A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8F1912" w:rsidRPr="00214A5E" w14:paraId="487CB306" w14:textId="77777777" w:rsidTr="00214A5E">
              <w:tc>
                <w:tcPr>
                  <w:tcW w:w="541" w:type="pct"/>
                </w:tcPr>
                <w:p w14:paraId="567EECB3" w14:textId="59FCC0C8" w:rsidR="008F1912" w:rsidRPr="000257D8" w:rsidRDefault="008F1912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Year 6</w:t>
                  </w:r>
                </w:p>
              </w:tc>
              <w:tc>
                <w:tcPr>
                  <w:tcW w:w="562" w:type="pct"/>
                  <w:shd w:val="clear" w:color="auto" w:fill="auto"/>
                </w:tcPr>
                <w:p w14:paraId="5E4B777A" w14:textId="387F9FE3" w:rsidR="008F1912" w:rsidRPr="000257D8" w:rsidRDefault="006D3E97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14:paraId="1033651B" w14:textId="6A52AC3F" w:rsidR="008F1912" w:rsidRPr="000257D8" w:rsidRDefault="008F1912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14:paraId="1EBA71DC" w14:textId="2B02D966" w:rsidR="008F1912" w:rsidRPr="000257D8" w:rsidRDefault="006D3E97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8" w:type="pct"/>
                  <w:shd w:val="clear" w:color="auto" w:fill="auto"/>
                </w:tcPr>
                <w:p w14:paraId="71AECF79" w14:textId="1F3B7905" w:rsidR="008F1912" w:rsidRPr="000257D8" w:rsidRDefault="008F1912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7" w:type="pct"/>
                  <w:shd w:val="clear" w:color="auto" w:fill="auto"/>
                </w:tcPr>
                <w:p w14:paraId="5A5A4AE5" w14:textId="2153D694" w:rsidR="008F1912" w:rsidRPr="000257D8" w:rsidRDefault="00B077AD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14:paraId="54F8096F" w14:textId="26DC96D7" w:rsidR="008F1912" w:rsidRPr="000257D8" w:rsidRDefault="008F1912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57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0" w:type="pct"/>
                  <w:shd w:val="clear" w:color="auto" w:fill="auto"/>
                </w:tcPr>
                <w:p w14:paraId="4A8EC3C9" w14:textId="77937019" w:rsidR="008F1912" w:rsidRPr="000257D8" w:rsidRDefault="008F1912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3" w:type="pct"/>
                  <w:shd w:val="clear" w:color="auto" w:fill="auto"/>
                </w:tcPr>
                <w:p w14:paraId="61F9D567" w14:textId="3EA1F7B5" w:rsidR="008F1912" w:rsidRPr="000257D8" w:rsidRDefault="00E926F0" w:rsidP="008F19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4431ACAD" w14:textId="77777777" w:rsidR="00214A5E" w:rsidRDefault="00214A5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67D83" w14:textId="77777777" w:rsidR="00214A5E" w:rsidRDefault="00214A5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82F24" w14:textId="04F56292" w:rsidR="00214A5E" w:rsidRDefault="00554E3B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of Key Stage Two Data:</w:t>
            </w:r>
          </w:p>
          <w:p w14:paraId="79C0ED85" w14:textId="7EF9B5ED" w:rsidR="000F5AF7" w:rsidRPr="00C92354" w:rsidRDefault="000F5AF7" w:rsidP="000F5A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 to the cancelation of KS2 SATS</w:t>
            </w:r>
            <w:r w:rsidR="00002347">
              <w:rPr>
                <w:rFonts w:ascii="Calibri" w:hAnsi="Calibri" w:cs="Calibri"/>
                <w:sz w:val="22"/>
                <w:szCs w:val="22"/>
              </w:rPr>
              <w:t xml:space="preserve"> during Covid, the 2020 and 2021 data is from our in house data capture: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660"/>
              <w:gridCol w:w="2158"/>
              <w:gridCol w:w="2158"/>
              <w:gridCol w:w="1990"/>
              <w:gridCol w:w="1990"/>
              <w:gridCol w:w="1990"/>
              <w:gridCol w:w="1971"/>
            </w:tblGrid>
            <w:tr w:rsidR="00F51229" w:rsidRPr="00BE4597" w14:paraId="1A900275" w14:textId="294CC348" w:rsidTr="00F51229">
              <w:trPr>
                <w:trHeight w:val="283"/>
              </w:trPr>
              <w:tc>
                <w:tcPr>
                  <w:tcW w:w="1778" w:type="dxa"/>
                </w:tcPr>
                <w:p w14:paraId="79650A4A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1660" w:type="dxa"/>
                </w:tcPr>
                <w:p w14:paraId="3448A634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158" w:type="dxa"/>
                </w:tcPr>
                <w:p w14:paraId="3DABADBE" w14:textId="3D2D6F4A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2018</w:t>
                  </w:r>
                </w:p>
              </w:tc>
              <w:tc>
                <w:tcPr>
                  <w:tcW w:w="2158" w:type="dxa"/>
                </w:tcPr>
                <w:p w14:paraId="59F76269" w14:textId="2496B88F" w:rsidR="00F51229" w:rsidRPr="00BE4597" w:rsidRDefault="00F51229" w:rsidP="00C92354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2019</w:t>
                  </w:r>
                </w:p>
              </w:tc>
              <w:tc>
                <w:tcPr>
                  <w:tcW w:w="1990" w:type="dxa"/>
                </w:tcPr>
                <w:p w14:paraId="028745DE" w14:textId="3B670D8D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2020 (Spring Data Capture)</w:t>
                  </w:r>
                </w:p>
              </w:tc>
              <w:tc>
                <w:tcPr>
                  <w:tcW w:w="1990" w:type="dxa"/>
                </w:tcPr>
                <w:p w14:paraId="41A4D158" w14:textId="77E2ABD7" w:rsidR="00F51229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2021 (Summer 2 Data Capture)</w:t>
                  </w:r>
                </w:p>
              </w:tc>
              <w:tc>
                <w:tcPr>
                  <w:tcW w:w="1990" w:type="dxa"/>
                </w:tcPr>
                <w:p w14:paraId="6A35FF03" w14:textId="77777777" w:rsidR="00F51229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2022</w:t>
                  </w:r>
                </w:p>
                <w:p w14:paraId="74D62AC3" w14:textId="17C48BDB" w:rsidR="00F51229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</w:tcPr>
                <w:p w14:paraId="00EC633F" w14:textId="7DEAEB78" w:rsidR="00F51229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Attainment 2023</w:t>
                  </w:r>
                </w:p>
              </w:tc>
            </w:tr>
            <w:tr w:rsidR="00F51229" w:rsidRPr="00BE4597" w14:paraId="14A01263" w14:textId="07A8234F" w:rsidTr="00F51229">
              <w:trPr>
                <w:trHeight w:val="283"/>
              </w:trPr>
              <w:tc>
                <w:tcPr>
                  <w:tcW w:w="1778" w:type="dxa"/>
                  <w:vMerge w:val="restart"/>
                </w:tcPr>
                <w:p w14:paraId="21BB0DD0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Windmill</w:t>
                  </w:r>
                </w:p>
              </w:tc>
              <w:tc>
                <w:tcPr>
                  <w:tcW w:w="1660" w:type="dxa"/>
                </w:tcPr>
                <w:p w14:paraId="200D9DBC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2158" w:type="dxa"/>
                </w:tcPr>
                <w:p w14:paraId="319964E8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2158" w:type="dxa"/>
                </w:tcPr>
                <w:p w14:paraId="64C0EB26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79%</w:t>
                  </w:r>
                </w:p>
              </w:tc>
              <w:tc>
                <w:tcPr>
                  <w:tcW w:w="1990" w:type="dxa"/>
                </w:tcPr>
                <w:p w14:paraId="580A0CF6" w14:textId="562001BF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64.4%</w:t>
                  </w:r>
                </w:p>
              </w:tc>
              <w:tc>
                <w:tcPr>
                  <w:tcW w:w="1990" w:type="dxa"/>
                </w:tcPr>
                <w:p w14:paraId="785BB87D" w14:textId="0841C392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81.7%</w:t>
                  </w:r>
                </w:p>
              </w:tc>
              <w:tc>
                <w:tcPr>
                  <w:tcW w:w="1990" w:type="dxa"/>
                </w:tcPr>
                <w:p w14:paraId="6DAADF3D" w14:textId="63A07280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971" w:type="dxa"/>
                </w:tcPr>
                <w:p w14:paraId="585F42C0" w14:textId="7D63F797" w:rsidR="00F51229" w:rsidRDefault="008372AC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85.4%</w:t>
                  </w:r>
                </w:p>
              </w:tc>
            </w:tr>
            <w:tr w:rsidR="00F51229" w:rsidRPr="00BE4597" w14:paraId="49446453" w14:textId="599095CE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5BEE0B59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63635B0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2158" w:type="dxa"/>
                </w:tcPr>
                <w:p w14:paraId="2BB4B6B9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66%</w:t>
                  </w:r>
                </w:p>
              </w:tc>
              <w:tc>
                <w:tcPr>
                  <w:tcW w:w="2158" w:type="dxa"/>
                </w:tcPr>
                <w:p w14:paraId="4ED2AD99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71%</w:t>
                  </w:r>
                </w:p>
              </w:tc>
              <w:tc>
                <w:tcPr>
                  <w:tcW w:w="1990" w:type="dxa"/>
                </w:tcPr>
                <w:p w14:paraId="035AB0FC" w14:textId="2824FEB3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59.3%</w:t>
                  </w:r>
                </w:p>
              </w:tc>
              <w:tc>
                <w:tcPr>
                  <w:tcW w:w="1990" w:type="dxa"/>
                </w:tcPr>
                <w:p w14:paraId="2A48BFC9" w14:textId="34B82799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990" w:type="dxa"/>
                </w:tcPr>
                <w:p w14:paraId="5DF0D077" w14:textId="733E3F61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1971" w:type="dxa"/>
                </w:tcPr>
                <w:p w14:paraId="1ACFDE19" w14:textId="7F1E6951" w:rsidR="00F51229" w:rsidRDefault="008372AC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83.9%</w:t>
                  </w:r>
                </w:p>
              </w:tc>
            </w:tr>
            <w:tr w:rsidR="00F51229" w:rsidRPr="00BE4597" w14:paraId="18769911" w14:textId="33882BE4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5FC9A781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62BFA85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Maths</w:t>
                  </w:r>
                </w:p>
              </w:tc>
              <w:tc>
                <w:tcPr>
                  <w:tcW w:w="2158" w:type="dxa"/>
                </w:tcPr>
                <w:p w14:paraId="666BD237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68%</w:t>
                  </w:r>
                </w:p>
              </w:tc>
              <w:tc>
                <w:tcPr>
                  <w:tcW w:w="2158" w:type="dxa"/>
                </w:tcPr>
                <w:p w14:paraId="516C736D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76%</w:t>
                  </w:r>
                </w:p>
              </w:tc>
              <w:tc>
                <w:tcPr>
                  <w:tcW w:w="1990" w:type="dxa"/>
                </w:tcPr>
                <w:p w14:paraId="48950892" w14:textId="0B105327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55.6%</w:t>
                  </w:r>
                </w:p>
              </w:tc>
              <w:tc>
                <w:tcPr>
                  <w:tcW w:w="1990" w:type="dxa"/>
                </w:tcPr>
                <w:p w14:paraId="3EF80F6E" w14:textId="10EBA8A6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81.7%</w:t>
                  </w:r>
                </w:p>
              </w:tc>
              <w:tc>
                <w:tcPr>
                  <w:tcW w:w="1990" w:type="dxa"/>
                </w:tcPr>
                <w:p w14:paraId="40A6F222" w14:textId="21C591CD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971" w:type="dxa"/>
                </w:tcPr>
                <w:p w14:paraId="0A089642" w14:textId="4CBB463B" w:rsidR="00F51229" w:rsidRDefault="008372AC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88.7%</w:t>
                  </w:r>
                </w:p>
              </w:tc>
            </w:tr>
            <w:tr w:rsidR="00F51229" w:rsidRPr="00BE4597" w14:paraId="08697C17" w14:textId="06791FF2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18DAD45B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1E115CDC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RWM</w:t>
                  </w:r>
                </w:p>
              </w:tc>
              <w:tc>
                <w:tcPr>
                  <w:tcW w:w="2158" w:type="dxa"/>
                </w:tcPr>
                <w:p w14:paraId="55099A0D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2158" w:type="dxa"/>
                </w:tcPr>
                <w:p w14:paraId="6C67BE8F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1990" w:type="dxa"/>
                </w:tcPr>
                <w:p w14:paraId="63066BFC" w14:textId="28A12685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52.5%</w:t>
                  </w:r>
                </w:p>
              </w:tc>
              <w:tc>
                <w:tcPr>
                  <w:tcW w:w="1990" w:type="dxa"/>
                </w:tcPr>
                <w:p w14:paraId="119C10ED" w14:textId="3E046ED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76.7%</w:t>
                  </w:r>
                </w:p>
              </w:tc>
              <w:tc>
                <w:tcPr>
                  <w:tcW w:w="1990" w:type="dxa"/>
                </w:tcPr>
                <w:p w14:paraId="294677E0" w14:textId="127CD425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971" w:type="dxa"/>
                </w:tcPr>
                <w:p w14:paraId="6FCB42B4" w14:textId="47821E60" w:rsidR="00F51229" w:rsidRDefault="008372AC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83.9%</w:t>
                  </w:r>
                </w:p>
              </w:tc>
            </w:tr>
            <w:tr w:rsidR="00F51229" w:rsidRPr="00BE4597" w14:paraId="098CA731" w14:textId="63CAF1A5" w:rsidTr="00F51229">
              <w:trPr>
                <w:trHeight w:val="283"/>
              </w:trPr>
              <w:tc>
                <w:tcPr>
                  <w:tcW w:w="1778" w:type="dxa"/>
                  <w:vMerge w:val="restart"/>
                </w:tcPr>
                <w:p w14:paraId="51CA3427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Low Road</w:t>
                  </w:r>
                </w:p>
              </w:tc>
              <w:tc>
                <w:tcPr>
                  <w:tcW w:w="1660" w:type="dxa"/>
                </w:tcPr>
                <w:p w14:paraId="553FA60A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2158" w:type="dxa"/>
                </w:tcPr>
                <w:p w14:paraId="4A4C9D4C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2158" w:type="dxa"/>
                </w:tcPr>
                <w:p w14:paraId="783B3AD5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1990" w:type="dxa"/>
                </w:tcPr>
                <w:p w14:paraId="134CEF7F" w14:textId="0254A7DC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81.8%</w:t>
                  </w:r>
                </w:p>
              </w:tc>
              <w:tc>
                <w:tcPr>
                  <w:tcW w:w="1990" w:type="dxa"/>
                </w:tcPr>
                <w:p w14:paraId="2259BF59" w14:textId="22697759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85.7%</w:t>
                  </w:r>
                </w:p>
              </w:tc>
              <w:tc>
                <w:tcPr>
                  <w:tcW w:w="1990" w:type="dxa"/>
                </w:tcPr>
                <w:p w14:paraId="137E7AA0" w14:textId="415D1E62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81%</w:t>
                  </w:r>
                </w:p>
              </w:tc>
              <w:tc>
                <w:tcPr>
                  <w:tcW w:w="1971" w:type="dxa"/>
                </w:tcPr>
                <w:p w14:paraId="7BA52353" w14:textId="13F863FB" w:rsidR="00F51229" w:rsidRDefault="00392806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84%</w:t>
                  </w:r>
                </w:p>
              </w:tc>
            </w:tr>
            <w:tr w:rsidR="00F51229" w:rsidRPr="00BE4597" w14:paraId="449EEB6D" w14:textId="094925EF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73F6C449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CD51B48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2158" w:type="dxa"/>
                </w:tcPr>
                <w:p w14:paraId="37E00871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2158" w:type="dxa"/>
                </w:tcPr>
                <w:p w14:paraId="28B0B96F" w14:textId="77777777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4597">
                    <w:rPr>
                      <w:rFonts w:ascii="Calibri" w:hAnsi="Calibri" w:cs="Calibri"/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1990" w:type="dxa"/>
                </w:tcPr>
                <w:p w14:paraId="1EC69DC2" w14:textId="0373656D" w:rsidR="00F51229" w:rsidRPr="00BE4597" w:rsidRDefault="00F51229" w:rsidP="00BE459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59.1%</w:t>
                  </w:r>
                </w:p>
              </w:tc>
              <w:tc>
                <w:tcPr>
                  <w:tcW w:w="1990" w:type="dxa"/>
                </w:tcPr>
                <w:p w14:paraId="0F34330F" w14:textId="66C91746" w:rsidR="00F51229" w:rsidRPr="00BE4597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81%</w:t>
                  </w:r>
                </w:p>
              </w:tc>
              <w:tc>
                <w:tcPr>
                  <w:tcW w:w="1990" w:type="dxa"/>
                </w:tcPr>
                <w:p w14:paraId="1DCF4542" w14:textId="26E4E7FE" w:rsidR="00F51229" w:rsidRDefault="00F51229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84.6%</w:t>
                  </w:r>
                </w:p>
              </w:tc>
              <w:tc>
                <w:tcPr>
                  <w:tcW w:w="1971" w:type="dxa"/>
                </w:tcPr>
                <w:p w14:paraId="56410230" w14:textId="022E4FB4" w:rsidR="00F51229" w:rsidRDefault="00392806" w:rsidP="000F5AF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84%</w:t>
                  </w:r>
                </w:p>
              </w:tc>
            </w:tr>
            <w:tr w:rsidR="00F51229" w:rsidRPr="00BE4597" w14:paraId="2449C68D" w14:textId="16FDC667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1FBA872C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1E05CE7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Maths</w:t>
                  </w:r>
                </w:p>
              </w:tc>
              <w:tc>
                <w:tcPr>
                  <w:tcW w:w="2158" w:type="dxa"/>
                </w:tcPr>
                <w:p w14:paraId="0F0CB8C5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2158" w:type="dxa"/>
                </w:tcPr>
                <w:p w14:paraId="76192233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sz w:val="20"/>
                      <w:szCs w:val="20"/>
                    </w:rPr>
                    <w:t>82%</w:t>
                  </w:r>
                </w:p>
              </w:tc>
              <w:tc>
                <w:tcPr>
                  <w:tcW w:w="1990" w:type="dxa"/>
                </w:tcPr>
                <w:p w14:paraId="3D41E70E" w14:textId="12C9C081" w:rsidR="00F51229" w:rsidRPr="00BE4597" w:rsidRDefault="00F51229" w:rsidP="00BE459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68.2%</w:t>
                  </w:r>
                </w:p>
              </w:tc>
              <w:tc>
                <w:tcPr>
                  <w:tcW w:w="1990" w:type="dxa"/>
                </w:tcPr>
                <w:p w14:paraId="31692586" w14:textId="586DFF48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81%</w:t>
                  </w:r>
                </w:p>
              </w:tc>
              <w:tc>
                <w:tcPr>
                  <w:tcW w:w="1990" w:type="dxa"/>
                </w:tcPr>
                <w:p w14:paraId="368AAEE1" w14:textId="6645084C" w:rsidR="00F51229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81%</w:t>
                  </w:r>
                </w:p>
              </w:tc>
              <w:tc>
                <w:tcPr>
                  <w:tcW w:w="1971" w:type="dxa"/>
                </w:tcPr>
                <w:p w14:paraId="20B12487" w14:textId="7CA0C4C0" w:rsidR="00F51229" w:rsidRDefault="00392806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96%</w:t>
                  </w:r>
                </w:p>
              </w:tc>
            </w:tr>
            <w:tr w:rsidR="00F51229" w:rsidRPr="00BE4597" w14:paraId="0FE0C4EB" w14:textId="46D310FB" w:rsidTr="00F51229">
              <w:trPr>
                <w:trHeight w:val="283"/>
              </w:trPr>
              <w:tc>
                <w:tcPr>
                  <w:tcW w:w="1778" w:type="dxa"/>
                  <w:vMerge/>
                </w:tcPr>
                <w:p w14:paraId="3D52C71F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2BADB712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RWM</w:t>
                  </w:r>
                </w:p>
              </w:tc>
              <w:tc>
                <w:tcPr>
                  <w:tcW w:w="2158" w:type="dxa"/>
                </w:tcPr>
                <w:p w14:paraId="51065D0F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2158" w:type="dxa"/>
                </w:tcPr>
                <w:p w14:paraId="7C2CEA9A" w14:textId="77777777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4597">
                    <w:rPr>
                      <w:rFonts w:asciiTheme="minorHAnsi" w:hAnsiTheme="minorHAnsi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990" w:type="dxa"/>
                </w:tcPr>
                <w:p w14:paraId="62311433" w14:textId="3A411B8D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55.4%</w:t>
                  </w:r>
                </w:p>
              </w:tc>
              <w:tc>
                <w:tcPr>
                  <w:tcW w:w="1990" w:type="dxa"/>
                </w:tcPr>
                <w:p w14:paraId="6094FFA0" w14:textId="02A0E59E" w:rsidR="00F51229" w:rsidRPr="00BE4597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76.2%</w:t>
                  </w:r>
                </w:p>
              </w:tc>
              <w:tc>
                <w:tcPr>
                  <w:tcW w:w="1990" w:type="dxa"/>
                </w:tcPr>
                <w:p w14:paraId="6D567A24" w14:textId="0FEBD777" w:rsidR="00F51229" w:rsidRDefault="00F51229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971" w:type="dxa"/>
                </w:tcPr>
                <w:p w14:paraId="2A3F4108" w14:textId="0F039F67" w:rsidR="00F51229" w:rsidRDefault="00392806" w:rsidP="000F5A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77%</w:t>
                  </w:r>
                </w:p>
              </w:tc>
            </w:tr>
          </w:tbl>
          <w:p w14:paraId="0958CF24" w14:textId="77777777" w:rsidR="000F5AF7" w:rsidRDefault="000F5AF7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7EC01" w14:textId="5099EF25" w:rsidR="00214A5E" w:rsidRPr="00527EE5" w:rsidRDefault="00214A5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82F15" w14:textId="77777777" w:rsidR="00FB739A" w:rsidRPr="00527EE5" w:rsidRDefault="00FB739A" w:rsidP="00FB73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527EE5" w14:paraId="225B206F" w14:textId="77777777" w:rsidTr="0086003D"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473323E" w14:textId="77777777" w:rsidR="00FB739A" w:rsidRPr="00527EE5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Overview of Key Priorities:</w:t>
            </w:r>
          </w:p>
        </w:tc>
      </w:tr>
      <w:tr w:rsidR="00FB739A" w:rsidRPr="00527EE5" w14:paraId="3CCA7753" w14:textId="77777777" w:rsidTr="00FA533B">
        <w:trPr>
          <w:trHeight w:val="1531"/>
        </w:trPr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754" w14:textId="6064601B" w:rsidR="00E43125" w:rsidRPr="0030786B" w:rsidRDefault="00043D65" w:rsidP="006F3C4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786B">
              <w:rPr>
                <w:rFonts w:asciiTheme="minorHAnsi" w:hAnsiTheme="minorHAnsi" w:cstheme="minorHAnsi"/>
                <w:sz w:val="22"/>
                <w:szCs w:val="22"/>
              </w:rPr>
              <w:t xml:space="preserve">To maintain </w:t>
            </w:r>
            <w:r w:rsidR="00064668" w:rsidRPr="0030786B">
              <w:rPr>
                <w:rFonts w:asciiTheme="minorHAnsi" w:hAnsiTheme="minorHAnsi" w:cstheme="minorHAnsi"/>
                <w:sz w:val="22"/>
                <w:szCs w:val="22"/>
              </w:rPr>
              <w:t xml:space="preserve">exit </w:t>
            </w:r>
            <w:r w:rsidRPr="0030786B">
              <w:rPr>
                <w:rFonts w:asciiTheme="minorHAnsi" w:hAnsiTheme="minorHAnsi" w:cstheme="minorHAnsi"/>
                <w:sz w:val="22"/>
                <w:szCs w:val="22"/>
              </w:rPr>
              <w:t>attainment in Reading, Writing and Maths</w:t>
            </w:r>
            <w:r w:rsidR="00E43125" w:rsidRPr="0030786B">
              <w:rPr>
                <w:rFonts w:asciiTheme="minorHAnsi" w:hAnsiTheme="minorHAnsi" w:cstheme="minorHAnsi"/>
                <w:sz w:val="22"/>
                <w:szCs w:val="22"/>
              </w:rPr>
              <w:t xml:space="preserve"> ensuring all children, including SEND, make good progress and attain or exceed their end of year targets</w:t>
            </w:r>
            <w:r w:rsidR="00307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0221DC" w14:textId="44D1F29C" w:rsidR="007806FA" w:rsidRPr="008650C4" w:rsidRDefault="007806FA" w:rsidP="006F3C4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50C4">
              <w:rPr>
                <w:rFonts w:asciiTheme="minorHAnsi" w:hAnsiTheme="minorHAnsi" w:cstheme="minorHAnsi"/>
                <w:sz w:val="22"/>
                <w:szCs w:val="22"/>
              </w:rPr>
              <w:t>To increase the number of pupils achieving GD in Writing.</w:t>
            </w:r>
          </w:p>
          <w:p w14:paraId="45551B4B" w14:textId="643EC393" w:rsidR="00B62729" w:rsidRPr="008650C4" w:rsidRDefault="00B62729" w:rsidP="006F3C4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50C4">
              <w:rPr>
                <w:rFonts w:asciiTheme="minorHAnsi" w:hAnsiTheme="minorHAnsi" w:cstheme="minorHAnsi"/>
                <w:sz w:val="22"/>
                <w:szCs w:val="22"/>
              </w:rPr>
              <w:t xml:space="preserve">To ensure the writing curriculum is embedded and </w:t>
            </w:r>
            <w:r w:rsidR="0030786B" w:rsidRPr="008650C4">
              <w:rPr>
                <w:rFonts w:asciiTheme="minorHAnsi" w:hAnsiTheme="minorHAnsi" w:cstheme="minorHAnsi"/>
                <w:sz w:val="22"/>
                <w:szCs w:val="22"/>
              </w:rPr>
              <w:t>that all children are exposed to a wide range of writing opportunities</w:t>
            </w:r>
            <w:r w:rsidR="00672BBE" w:rsidRPr="008650C4">
              <w:rPr>
                <w:rFonts w:asciiTheme="minorHAnsi" w:hAnsiTheme="minorHAnsi" w:cstheme="minorHAnsi"/>
                <w:sz w:val="22"/>
                <w:szCs w:val="22"/>
              </w:rPr>
              <w:t xml:space="preserve"> throughout the curriculum</w:t>
            </w:r>
            <w:r w:rsidR="0030786B" w:rsidRPr="008650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652322" w14:textId="09B0BE07" w:rsidR="006F3C48" w:rsidRPr="006F3C48" w:rsidRDefault="006F3C48" w:rsidP="006F3C4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continue to emphasise the importance of Reading and </w:t>
            </w:r>
            <w:r w:rsidR="0030786B">
              <w:rPr>
                <w:rFonts w:asciiTheme="minorHAnsi" w:hAnsiTheme="minorHAnsi" w:cstheme="minorHAnsi"/>
                <w:iCs/>
                <w:sz w:val="22"/>
                <w:szCs w:val="22"/>
              </w:rPr>
              <w:t>maintain/increase engagement in 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eading at home</w:t>
            </w:r>
            <w:r w:rsidR="0030786B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28DE903A" w14:textId="739F5F4E" w:rsidR="00064668" w:rsidRPr="00064668" w:rsidRDefault="00043D65" w:rsidP="006F3C4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E537BE">
              <w:rPr>
                <w:rFonts w:asciiTheme="minorHAnsi" w:hAnsiTheme="minorHAnsi" w:cstheme="minorHAnsi"/>
                <w:bCs/>
                <w:sz w:val="22"/>
              </w:rPr>
              <w:t xml:space="preserve">To ensure that behaviour is well managed throughout the phase and expectations are of a consistently of a high </w:t>
            </w:r>
            <w:r w:rsidR="00064668">
              <w:rPr>
                <w:rFonts w:asciiTheme="minorHAnsi" w:hAnsiTheme="minorHAnsi" w:cstheme="minorHAnsi"/>
                <w:bCs/>
                <w:sz w:val="22"/>
              </w:rPr>
              <w:t>standard</w:t>
            </w:r>
            <w:r w:rsidR="0030786B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3C62FE81" w14:textId="44182F1E" w:rsidR="00043D65" w:rsidRPr="00E43125" w:rsidRDefault="00043D65" w:rsidP="006F3C4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37BE">
              <w:rPr>
                <w:rFonts w:asciiTheme="minorHAnsi" w:hAnsiTheme="minorHAnsi" w:cstheme="minorHAnsi"/>
                <w:sz w:val="22"/>
                <w:szCs w:val="22"/>
              </w:rPr>
              <w:t>To ensure that Google Classroom is used effectively by all teachers in order to achieve 24/7 learning</w:t>
            </w:r>
            <w:r w:rsidR="00307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E508A89" w14:textId="77777777" w:rsidR="00FB739A" w:rsidRPr="00527EE5" w:rsidRDefault="00FB739A" w:rsidP="00FB73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527EE5" w14:paraId="45191A36" w14:textId="77777777" w:rsidTr="0086003D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2DF8C60" w14:textId="77777777" w:rsidR="00FB739A" w:rsidRPr="00527EE5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Proposed Outcomes</w:t>
            </w:r>
          </w:p>
        </w:tc>
      </w:tr>
      <w:tr w:rsidR="00FB739A" w:rsidRPr="00527EE5" w14:paraId="1D63DE72" w14:textId="77777777" w:rsidTr="00FA53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015" w14:textId="4311917B" w:rsidR="00064668" w:rsidRPr="00E27D0E" w:rsidRDefault="00242C0A" w:rsidP="00453F4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to</w:t>
            </w:r>
            <w:r w:rsidR="00064668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EC6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plan and </w:t>
            </w:r>
            <w:r w:rsidR="00064668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deliver </w:t>
            </w:r>
            <w:r w:rsidR="006F3C48">
              <w:rPr>
                <w:rFonts w:asciiTheme="minorHAnsi" w:hAnsiTheme="minorHAnsi" w:cstheme="minorHAnsi"/>
                <w:sz w:val="22"/>
                <w:szCs w:val="22"/>
              </w:rPr>
              <w:t xml:space="preserve">ambitious, </w:t>
            </w:r>
            <w:r w:rsidR="00064668" w:rsidRPr="00E27D0E">
              <w:rPr>
                <w:rFonts w:asciiTheme="minorHAnsi" w:hAnsiTheme="minorHAnsi" w:cstheme="minorHAnsi"/>
                <w:sz w:val="22"/>
                <w:szCs w:val="22"/>
              </w:rPr>
              <w:t>engaging and enriching lessons in order to help all childr</w:t>
            </w:r>
            <w:r w:rsidR="0030786B">
              <w:rPr>
                <w:rFonts w:asciiTheme="minorHAnsi" w:hAnsiTheme="minorHAnsi" w:cstheme="minorHAnsi"/>
                <w:sz w:val="22"/>
                <w:szCs w:val="22"/>
              </w:rPr>
              <w:t>en achieve their full potential.</w:t>
            </w:r>
          </w:p>
          <w:p w14:paraId="618AF241" w14:textId="14070556" w:rsidR="00064668" w:rsidRPr="00E27D0E" w:rsidRDefault="003F1E24" w:rsidP="00453F4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</w:t>
            </w:r>
            <w:r w:rsidR="00064668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 are set aspirational end of year targets</w:t>
            </w:r>
            <w:r w:rsidR="00307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EF7041" w14:textId="40535708" w:rsidR="00597200" w:rsidRDefault="00242C0A" w:rsidP="00453F4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7200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ntervention and adult support </w:t>
            </w:r>
            <w:r w:rsidR="006F3C48">
              <w:rPr>
                <w:rFonts w:asciiTheme="minorHAnsi" w:hAnsiTheme="minorHAnsi" w:cstheme="minorHAnsi"/>
                <w:sz w:val="22"/>
                <w:szCs w:val="22"/>
              </w:rPr>
              <w:t xml:space="preserve">used well </w:t>
            </w:r>
            <w:r w:rsidR="00597200"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to accelerate </w:t>
            </w:r>
            <w:r w:rsidR="00597200" w:rsidRPr="009048C3">
              <w:rPr>
                <w:rFonts w:asciiTheme="minorHAnsi" w:hAnsiTheme="minorHAnsi" w:cstheme="minorHAnsi"/>
                <w:sz w:val="22"/>
                <w:szCs w:val="22"/>
              </w:rPr>
              <w:t>progress and close the gap to ARE</w:t>
            </w:r>
            <w:r w:rsidR="00307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3E9AC8" w14:textId="3662EFBF" w:rsidR="00672BBE" w:rsidRPr="009048C3" w:rsidRDefault="00672BBE" w:rsidP="00453F4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 to identify learners who have the potential to reach GD, particularly in writing, and use adult support well to push progress on.</w:t>
            </w:r>
          </w:p>
          <w:p w14:paraId="55A69E4F" w14:textId="5F1E2F19" w:rsidR="00BB5EC6" w:rsidRDefault="00BB5EC6" w:rsidP="00453F4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>Impact of interventions evidenced through accelerated progress made on Intervention Record Sheets</w:t>
            </w:r>
          </w:p>
          <w:p w14:paraId="2401CB2B" w14:textId="6A2A5BDA" w:rsidR="00672BBE" w:rsidRPr="00672BBE" w:rsidRDefault="00672BBE" w:rsidP="00672B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Monitoring indicates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learners</w:t>
            </w: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 receive quality first teachin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  <w:p w14:paraId="3B32322C" w14:textId="77777777" w:rsidR="0030786B" w:rsidRPr="00E27D0E" w:rsidRDefault="0030786B" w:rsidP="0030786B">
            <w:pPr>
              <w:pStyle w:val="ListParagraph"/>
              <w:numPr>
                <w:ilvl w:val="0"/>
                <w:numId w:val="14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hildren who were GD at EYFS or KS1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identified and</w:t>
            </w: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 xml:space="preserve"> continue to achieve at GD standard</w:t>
            </w:r>
          </w:p>
          <w:p w14:paraId="10B642ED" w14:textId="4B222983" w:rsidR="0030786B" w:rsidRPr="00E27D0E" w:rsidRDefault="0030786B" w:rsidP="00453F4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that children are exposed to</w:t>
            </w:r>
            <w:r w:rsidR="00F65CF9">
              <w:rPr>
                <w:rFonts w:asciiTheme="minorHAnsi" w:hAnsiTheme="minorHAnsi" w:cstheme="minorHAnsi"/>
                <w:sz w:val="22"/>
                <w:szCs w:val="22"/>
              </w:rPr>
              <w:t xml:space="preserve"> a range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engaging writing opportunities in </w:t>
            </w:r>
            <w:r w:rsidR="00672BBE">
              <w:rPr>
                <w:rFonts w:asciiTheme="minorHAnsi" w:hAnsiTheme="minorHAnsi" w:cstheme="minorHAnsi"/>
                <w:sz w:val="22"/>
                <w:szCs w:val="22"/>
              </w:rPr>
              <w:t xml:space="preserve">all areas and the curriculum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for homework.</w:t>
            </w:r>
          </w:p>
          <w:p w14:paraId="34D1BC43" w14:textId="77777777" w:rsidR="005C5D14" w:rsidRDefault="00BB5EC6" w:rsidP="00453F41">
            <w:pPr>
              <w:pStyle w:val="ListParagraph"/>
              <w:numPr>
                <w:ilvl w:val="0"/>
                <w:numId w:val="14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7D0E">
              <w:rPr>
                <w:rFonts w:asciiTheme="minorHAnsi" w:hAnsiTheme="minorHAnsi" w:cstheme="minorHAnsi"/>
                <w:sz w:val="22"/>
                <w:szCs w:val="22"/>
              </w:rPr>
              <w:t>Learning environment and quality of workbooks is excellent.</w:t>
            </w:r>
          </w:p>
          <w:p w14:paraId="706BC63C" w14:textId="400B84EB" w:rsidR="00453F41" w:rsidRPr="00453F41" w:rsidRDefault="00D17E69" w:rsidP="00453F41">
            <w:pPr>
              <w:pStyle w:val="ListParagraph"/>
              <w:numPr>
                <w:ilvl w:val="0"/>
                <w:numId w:val="14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</w:t>
            </w:r>
            <w:r w:rsidR="00453F41">
              <w:rPr>
                <w:rFonts w:asciiTheme="minorHAnsi" w:hAnsiTheme="minorHAnsi" w:cstheme="minorHAnsi"/>
                <w:sz w:val="22"/>
                <w:szCs w:val="22"/>
              </w:rPr>
              <w:t xml:space="preserve"> involvement of parents and carers in their child’s reading. </w:t>
            </w:r>
          </w:p>
          <w:p w14:paraId="42F4608A" w14:textId="70AF7824" w:rsidR="00371D36" w:rsidRDefault="00371D36" w:rsidP="004766FA">
            <w:pPr>
              <w:pStyle w:val="ListParagraph"/>
              <w:numPr>
                <w:ilvl w:val="0"/>
                <w:numId w:val="14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Homework and other tasks set on Google Classroom will promote academic and personal development. </w:t>
            </w:r>
          </w:p>
          <w:p w14:paraId="16A103A7" w14:textId="77777777" w:rsidR="004766FA" w:rsidRPr="004766FA" w:rsidRDefault="004766FA" w:rsidP="004766FA">
            <w:pPr>
              <w:pStyle w:val="ListParagraph"/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6D05A" w14:textId="611D1C40" w:rsidR="006F3C48" w:rsidRPr="006F3C48" w:rsidRDefault="006F3C48" w:rsidP="006F3C48">
            <w:pPr>
              <w:tabs>
                <w:tab w:val="left" w:pos="4665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97569" w14:textId="77777777" w:rsidR="00FB739A" w:rsidRPr="00527EE5" w:rsidRDefault="00FB739A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7722"/>
        <w:gridCol w:w="1503"/>
        <w:gridCol w:w="1904"/>
        <w:gridCol w:w="1614"/>
      </w:tblGrid>
      <w:tr w:rsidR="0086003D" w:rsidRPr="00527EE5" w14:paraId="1072B3B7" w14:textId="7397D6A9" w:rsidTr="006B5F02">
        <w:trPr>
          <w:trHeight w:val="61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1FA073F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Priority Developments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FF4EE60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269C7B1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Resources &amp; Costs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35DEF06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F62145" w14:textId="08D26446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Personnel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B224CC1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2312FCC5" w14:textId="4DE7682C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Timescale</w:t>
            </w:r>
          </w:p>
        </w:tc>
      </w:tr>
      <w:tr w:rsidR="0086003D" w:rsidRPr="00527EE5" w14:paraId="0047E676" w14:textId="71CE6D1B" w:rsidTr="0086003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84A5" w14:textId="6394D932" w:rsidR="0086003D" w:rsidRPr="00E27D0E" w:rsidRDefault="0086003D" w:rsidP="006B5F0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27D0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lastRenderedPageBreak/>
              <w:t xml:space="preserve">Quality of </w:t>
            </w:r>
            <w:r w:rsidR="00F317A6" w:rsidRPr="00E27D0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Education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427" w14:textId="40EC8B84" w:rsidR="00064668" w:rsidRPr="00C43C39" w:rsidRDefault="00064668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With support from Phase Lead/Assessment manager, use children’s starting points and information from transition meetings to set aspirational end of year targets.</w:t>
            </w:r>
          </w:p>
          <w:p w14:paraId="3A8D4F9C" w14:textId="1223E0CC" w:rsidR="00597200" w:rsidRPr="00C43C39" w:rsidRDefault="00064668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Ensure all children receive quality first teaching through effective planning which meets the needs of groups and individuals. </w:t>
            </w:r>
          </w:p>
          <w:p w14:paraId="19321D57" w14:textId="77777777" w:rsidR="00597200" w:rsidRPr="00C43C39" w:rsidRDefault="00597200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Where children are not on the correct trajectory, put in extra support (adult support, interventions targeting more able children etc) so that they achieve their target. </w:t>
            </w:r>
          </w:p>
          <w:p w14:paraId="5DDD1035" w14:textId="04C3B53F" w:rsidR="00684743" w:rsidRDefault="00684743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 should be tailored to effectively meet the needs of the pupils in the class.</w:t>
            </w:r>
          </w:p>
          <w:p w14:paraId="0267E15C" w14:textId="5BDA3982" w:rsidR="00597200" w:rsidRPr="00C43C39" w:rsidRDefault="006F2155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alongside SENDCO to ensure </w:t>
            </w:r>
            <w:r w:rsidR="00597200" w:rsidRPr="00C43C39">
              <w:rPr>
                <w:rFonts w:asciiTheme="minorHAnsi" w:hAnsiTheme="minorHAnsi" w:cstheme="minorHAnsi"/>
                <w:sz w:val="22"/>
                <w:szCs w:val="22"/>
              </w:rPr>
              <w:t>SEND children are effectively planned for by using information from their SEND files, IEPs and provision mapping.</w:t>
            </w:r>
          </w:p>
          <w:p w14:paraId="1C7976F0" w14:textId="62E7E0A3" w:rsidR="00064668" w:rsidRPr="00C43C39" w:rsidRDefault="00064668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Coaching </w:t>
            </w:r>
            <w:r w:rsidR="00597200"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needs identified and </w:t>
            </w: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in place for staff throughout the year to fine tune elements</w:t>
            </w:r>
            <w:r w:rsidR="00597200"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 of planning, assessment and delivery of the curriculum as needed</w:t>
            </w: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80D400" w14:textId="036F746E" w:rsidR="005C5D14" w:rsidRPr="00C43C39" w:rsidRDefault="005C5D14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Experienced teachers take lead in planning meetings to ensure all children are catered for.</w:t>
            </w:r>
          </w:p>
          <w:p w14:paraId="18520268" w14:textId="2A6340FC" w:rsidR="005C5D14" w:rsidRPr="00C43C39" w:rsidRDefault="005C5D14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Drawing on expertise of staff within the phase, review impact of interventions and provide further guidance with staff delivering them. </w:t>
            </w:r>
          </w:p>
          <w:p w14:paraId="74A1BA9B" w14:textId="72AD6FD8" w:rsidR="005C5D14" w:rsidRPr="00C43C39" w:rsidRDefault="005C5D14" w:rsidP="00C43C39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Newer colleagues to observe excellent practice within the phase.</w:t>
            </w:r>
          </w:p>
          <w:p w14:paraId="7DEA1A39" w14:textId="5A0513BA" w:rsidR="00BB5EC6" w:rsidRPr="00C43C39" w:rsidRDefault="00FB7D26" w:rsidP="00C43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Class teachers work with subject leaders to adapt the chosen curriculum that is ambitious and designed to give all learners the knowledge and </w:t>
            </w:r>
            <w:r w:rsidR="00046A77" w:rsidRPr="00C43C39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 cap</w:t>
            </w:r>
            <w:r w:rsidR="00046A77" w:rsidRPr="00C43C39">
              <w:rPr>
                <w:rFonts w:asciiTheme="minorHAnsi" w:hAnsiTheme="minorHAnsi" w:cstheme="minorHAnsi"/>
                <w:sz w:val="22"/>
                <w:szCs w:val="22"/>
              </w:rPr>
              <w:t>ital they need to succeed in life</w:t>
            </w:r>
            <w:r w:rsidR="00904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84F4BD" w14:textId="2ADBF468" w:rsidR="00BB5EC6" w:rsidRPr="00C43C39" w:rsidRDefault="00BB5EC6" w:rsidP="00C43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The work in pupil books follows </w:t>
            </w:r>
            <w:r w:rsidR="00046A77"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the coherently planned and sequenced </w:t>
            </w: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MTPs.</w:t>
            </w:r>
          </w:p>
          <w:p w14:paraId="5A880DED" w14:textId="0FD2BD56" w:rsidR="00BB5EC6" w:rsidRPr="00C43C39" w:rsidRDefault="00046A77" w:rsidP="00C43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>Workbook across year groups and the phase provide evidence of delivery towards cumulatively sufficient knowledge and skills</w:t>
            </w:r>
            <w:r w:rsidR="009048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699CCD" w14:textId="3C921276" w:rsidR="00046A77" w:rsidRDefault="00E27D0E" w:rsidP="00C43C3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t</w:t>
            </w:r>
            <w:r w:rsidR="00046A77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eachers present subject matter clearly, promoting appropriate discussion about the subject matter they are teaching. </w:t>
            </w:r>
          </w:p>
          <w:p w14:paraId="01D06690" w14:textId="77215656" w:rsidR="00684743" w:rsidRPr="00684743" w:rsidRDefault="0003264E" w:rsidP="0068474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Daily planning meetings between the class Teacher and TA to ensure all adults are aware of the expectations of the lesson and key individuals to work with and support.</w:t>
            </w:r>
          </w:p>
          <w:p w14:paraId="4EB1426F" w14:textId="38D049AC" w:rsidR="00046A77" w:rsidRPr="00C43C39" w:rsidRDefault="00046A77" w:rsidP="00C43C3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lastRenderedPageBreak/>
              <w:t xml:space="preserve">Staff check learners’ understanding systematically, identify misconceptions accurately and provide clear, direct feedback. </w:t>
            </w:r>
          </w:p>
          <w:p w14:paraId="29A72E51" w14:textId="11D1F4E4" w:rsidR="00046A77" w:rsidRDefault="00046A77" w:rsidP="00C43C3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staff use assessment well, for example to help learners embed and use knowledge fluently or to check understanding and inform teaching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193431F4" w14:textId="01663721" w:rsidR="00046A77" w:rsidRPr="00C43C39" w:rsidRDefault="00E27D0E" w:rsidP="00C43C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A </w:t>
            </w:r>
            <w:r w:rsidR="00046A77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rigorous approach to the teaching of reading develops learners’ confidence and enjoyment in reading.</w:t>
            </w:r>
          </w:p>
          <w:p w14:paraId="20D9E82A" w14:textId="466533B4" w:rsidR="00461737" w:rsidRDefault="00A8345A" w:rsidP="00C43C3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learners develop detailed knowledge and skills across the curriculum and, as a result, achieve well. Where relevant, this is reflected in results from national tests and examinations that meet government expectations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337D591B" w14:textId="1280DF35" w:rsidR="00002347" w:rsidRPr="00002347" w:rsidRDefault="00002347" w:rsidP="0000234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Phase leaders to support subject leaders when completing deep dive/monitoring and assessing standards of work in relevant year groups.</w:t>
            </w:r>
          </w:p>
          <w:p w14:paraId="0216FC03" w14:textId="70F56934" w:rsidR="00B62729" w:rsidRPr="00C43C39" w:rsidRDefault="00B62729" w:rsidP="00F65CF9">
            <w:pPr>
              <w:pStyle w:val="ListParagraph"/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697" w14:textId="77777777" w:rsidR="00B139EF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CPD costs to be identified </w:t>
            </w:r>
          </w:p>
          <w:p w14:paraId="0CDF5466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7C870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time</w:t>
            </w:r>
          </w:p>
          <w:p w14:paraId="3C122BB4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9DF73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observations conducted by SLT</w:t>
            </w:r>
          </w:p>
          <w:p w14:paraId="7A7A50FD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E8627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alongside SENDCO</w:t>
            </w:r>
          </w:p>
          <w:p w14:paraId="700C6F9A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CE142" w14:textId="77777777" w:rsidR="009048C3" w:rsidRDefault="009048C3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Resources to enable teaching to be a focus for subject leads </w:t>
            </w:r>
          </w:p>
          <w:p w14:paraId="166C1EA3" w14:textId="77777777" w:rsidR="000B2D14" w:rsidRDefault="000B2D14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EB9C2" w14:textId="5E024A1D" w:rsidR="000B2D14" w:rsidRPr="00471C92" w:rsidRDefault="000B2D14" w:rsidP="00B139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 Deep Dive days to feed into phase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A31" w14:textId="773B12AE" w:rsidR="0086003D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SLT</w:t>
            </w:r>
          </w:p>
          <w:p w14:paraId="3048A369" w14:textId="685D7743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SENDCO</w:t>
            </w:r>
          </w:p>
          <w:p w14:paraId="415308BB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Leads</w:t>
            </w:r>
          </w:p>
          <w:p w14:paraId="0984161A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 leads</w:t>
            </w:r>
          </w:p>
          <w:p w14:paraId="420BDB7D" w14:textId="73CE73D6" w:rsidR="009048C3" w:rsidRPr="00471C92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Classroom practitioners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4BA" w14:textId="45141F26" w:rsidR="0086003D" w:rsidRDefault="00B26916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On-going to July 2024</w:t>
            </w:r>
          </w:p>
          <w:p w14:paraId="097BD5F8" w14:textId="77777777" w:rsidR="000B2D14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15E3B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observations as per rota</w:t>
            </w:r>
          </w:p>
          <w:p w14:paraId="537905A7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CAB3C" w14:textId="64DABA32" w:rsidR="000B2D14" w:rsidRPr="00471C92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 looks as per rota</w:t>
            </w:r>
          </w:p>
        </w:tc>
      </w:tr>
      <w:tr w:rsidR="0086003D" w:rsidRPr="00527EE5" w14:paraId="2C30AE72" w14:textId="0D81CB2E" w:rsidTr="0086003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14A" w14:textId="77E15D34" w:rsidR="0086003D" w:rsidRPr="00C43C39" w:rsidRDefault="0086003D" w:rsidP="00C43C39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C43C39">
              <w:rPr>
                <w:rFonts w:asciiTheme="minorHAnsi" w:hAnsiTheme="minorHAnsi" w:cstheme="minorHAnsi"/>
                <w:b/>
                <w:highlight w:val="yellow"/>
              </w:rPr>
              <w:t>Behaviour</w:t>
            </w:r>
            <w:r w:rsidR="00F317A6" w:rsidRPr="00C43C39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D1632B" w:rsidRPr="00C43C39">
              <w:rPr>
                <w:rFonts w:asciiTheme="minorHAnsi" w:hAnsiTheme="minorHAnsi" w:cstheme="minorHAnsi"/>
                <w:b/>
                <w:highlight w:val="yellow"/>
              </w:rPr>
              <w:t xml:space="preserve">and </w:t>
            </w:r>
            <w:r w:rsidR="00F317A6" w:rsidRPr="00C43C39">
              <w:rPr>
                <w:rFonts w:asciiTheme="minorHAnsi" w:hAnsiTheme="minorHAnsi" w:cstheme="minorHAnsi"/>
                <w:b/>
                <w:highlight w:val="yellow"/>
              </w:rPr>
              <w:t xml:space="preserve">Attitudes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5E8" w14:textId="736827DB" w:rsidR="00F52884" w:rsidRPr="00C43C39" w:rsidRDefault="00270CB9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staff in the phase have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high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expectations for learners’ behaviour and conduct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both in and outside of school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3B134FD7" w14:textId="1C4EE92D" w:rsidR="004A156B" w:rsidRPr="00C43C39" w:rsidRDefault="00270CB9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s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taff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appl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y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the behaviour policy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consistently and fairly. This is reflected in learners’ behaviour and conduct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at all times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524A6800" w14:textId="77777777" w:rsidR="00F52884" w:rsidRPr="00C43C39" w:rsidRDefault="00F52884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Through monitoring and pupil audits,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learners’ attitudes to their education are 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identified as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positive.</w:t>
            </w:r>
          </w:p>
          <w:p w14:paraId="655E61CE" w14:textId="325EE7A6" w:rsidR="00F52884" w:rsidRPr="00C43C39" w:rsidRDefault="003F1E24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Learners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show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commit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ment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to their learning, 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through their use of Google Classroom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6EEAB85B" w14:textId="00824AE2" w:rsidR="004A156B" w:rsidRPr="00C43C39" w:rsidRDefault="003F1E24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Learners</w:t>
            </w:r>
            <w:r w:rsidR="00F5288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show they are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resilient to setbacks and take pride in their achievements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3DAF5F50" w14:textId="1CE80F33" w:rsidR="004A156B" w:rsidRPr="00C43C39" w:rsidRDefault="00F52884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Alongside attendance officers, monitor those persistent absentees which enables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learners have high attendance and are punctual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to their lessons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3FEC4069" w14:textId="77777777" w:rsidR="008F2E56" w:rsidRPr="00DA0568" w:rsidRDefault="00F52884" w:rsidP="00DA056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9"/>
                <w:szCs w:val="29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All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leaders, teachers and learners create an environment where bullying, peer-on-peer abuse or discrimination are not tolerated. If they do occur, staff deal with issues quickly and effectively, and do not allow them to spread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1A7BD86C" w14:textId="77777777" w:rsidR="00DA0568" w:rsidRDefault="00DA0568" w:rsidP="00DA05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Adults make sure that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all pupils feel safe in school and address any concerns they may have through discussion. Provide a worry box for pup</w:t>
            </w:r>
            <w:r w:rsidR="00BA460F">
              <w:rPr>
                <w:rFonts w:asciiTheme="minorHAnsi" w:hAnsiTheme="minorHAnsi" w:cstheme="minorHAnsi"/>
                <w:sz w:val="22"/>
                <w:szCs w:val="22"/>
              </w:rPr>
              <w:t>ils to post anonymously if they have issues that they dare not bring 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‘A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dults who can help me’ poster</w:t>
            </w:r>
            <w:r w:rsidR="00F813DA">
              <w:rPr>
                <w:rFonts w:asciiTheme="minorHAnsi" w:hAnsiTheme="minorHAnsi" w:cstheme="minorHAnsi"/>
                <w:sz w:val="22"/>
                <w:szCs w:val="22"/>
              </w:rPr>
              <w:t>s should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displayed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in the classroom and cloakroom environments. </w:t>
            </w:r>
          </w:p>
          <w:p w14:paraId="2AF58DE7" w14:textId="03F6E820" w:rsidR="008650C4" w:rsidRPr="00DA0568" w:rsidRDefault="00B152D2" w:rsidP="00DA05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152D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Adult-led games and activities at playtimes.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DBA" w14:textId="36FE4B62" w:rsidR="0086003D" w:rsidRPr="00471C92" w:rsidRDefault="00DD2AE6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AE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lastRenderedPageBreak/>
              <w:t>Additional playground resources to be costed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DA7" w14:textId="77777777" w:rsidR="0086003D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SLT</w:t>
            </w:r>
          </w:p>
          <w:p w14:paraId="67886FBC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Pastoral Team</w:t>
            </w:r>
          </w:p>
          <w:p w14:paraId="1EC5AF3B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SENDCO</w:t>
            </w:r>
          </w:p>
          <w:p w14:paraId="4E3C69F6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Phase Leads </w:t>
            </w:r>
          </w:p>
          <w:p w14:paraId="291B57DD" w14:textId="421F10A1" w:rsidR="009048C3" w:rsidRPr="00471C92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Classroom practitioners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8C9" w14:textId="77777777" w:rsidR="0086003D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 audits to be taken termly</w:t>
            </w:r>
          </w:p>
          <w:p w14:paraId="759A685F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2A81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observations as per rota</w:t>
            </w:r>
          </w:p>
          <w:p w14:paraId="0B58695D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C67E5" w14:textId="7ECF28A4" w:rsidR="009048C3" w:rsidRPr="00471C92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 looks as per rota</w:t>
            </w:r>
          </w:p>
        </w:tc>
      </w:tr>
      <w:tr w:rsidR="0086003D" w:rsidRPr="00527EE5" w14:paraId="34475F47" w14:textId="3F0AA145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2BE" w14:textId="3A2DC4AE" w:rsidR="0086003D" w:rsidRPr="00471C92" w:rsidRDefault="00D1632B" w:rsidP="006B5F02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471C92">
              <w:rPr>
                <w:rFonts w:asciiTheme="minorHAnsi" w:hAnsiTheme="minorHAnsi" w:cstheme="minorHAnsi"/>
                <w:b/>
                <w:highlight w:val="yellow"/>
              </w:rPr>
              <w:t>Personal Development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AD6" w14:textId="723D60F3" w:rsidR="004A156B" w:rsidRPr="00C43C39" w:rsidRDefault="009C6844" w:rsidP="00BF70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  <w:lang w:eastAsia="en-GB"/>
              </w:rPr>
            </w:pPr>
            <w:r w:rsidRPr="00C43C39">
              <w:rPr>
                <w:rFonts w:asciiTheme="minorHAnsi" w:hAnsiTheme="minorHAnsi" w:cstheme="minorHAnsi"/>
                <w:sz w:val="22"/>
                <w:szCs w:val="22"/>
              </w:rPr>
              <w:t xml:space="preserve">Enrichment clubs available to the phase in a range of subjects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extend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ing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beyond the academic, 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providing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learners’ broader development</w:t>
            </w:r>
            <w:r w:rsidR="0000504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past the academic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, enabling them to develop and discover their interests and talents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669ECEE5" w14:textId="519EEC80" w:rsidR="004A156B" w:rsidRPr="00C43C39" w:rsidRDefault="009C6844" w:rsidP="00BF70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staff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support learners to develop their character – including their resilience, confidence and independence – and help them know how to keep physically and mentally healthy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 PSHE books offer the range of learning opportunities covered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271D7218" w14:textId="184A8F38" w:rsidR="009C6844" w:rsidRDefault="009C6844" w:rsidP="00BF70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Year 6 take part in transition activities, linking with secondary schools and increase post-COVID visiting to ensure that they are ready for their future education.</w:t>
            </w:r>
          </w:p>
          <w:p w14:paraId="6598C6B7" w14:textId="77777777" w:rsidR="00BF70F1" w:rsidRPr="009A78C4" w:rsidRDefault="00BF70F1" w:rsidP="00BF70F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Teachers and SLT will consider carefully the time and age appropriateness of SRE sessions, taking into account the pupils in each cohort. </w:t>
            </w:r>
          </w:p>
          <w:p w14:paraId="7F652065" w14:textId="396CDF3B" w:rsidR="00BF70F1" w:rsidRPr="00BF70F1" w:rsidRDefault="00BF70F1" w:rsidP="00BF70F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very pupil has an understanding of online and offline risks and will be aware of the support available to them. </w:t>
            </w:r>
          </w:p>
          <w:p w14:paraId="777E36F4" w14:textId="3F90B895" w:rsidR="000D75AF" w:rsidRPr="00C43C39" w:rsidRDefault="009C6844" w:rsidP="00BF70F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Phase staff work alongside subject leaders and SLT to prepare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learner</w:t>
            </w:r>
            <w:r w:rsidR="00B7007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s for life in modern Britain: equip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them to be responsible, respectful, active citizens who contribute p</w:t>
            </w:r>
            <w:r w:rsidR="00B7007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ositively to society; develop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their understanding of fundam</w:t>
            </w:r>
            <w:r w:rsidR="00B7007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ental British values; develop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their understanding and apprec</w:t>
            </w:r>
            <w:r w:rsidR="00B7007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iation of diversity; celebrate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what we have in common and promoting respect for the different protected characteristics as defined in law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602" w14:textId="77777777" w:rsidR="0086003D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Afterschool club time</w:t>
            </w:r>
          </w:p>
          <w:p w14:paraId="34A9E8AF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8741A" w14:textId="77777777" w:rsidR="009048C3" w:rsidRDefault="009048C3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PSHE resources and time allocated to bui</w:t>
            </w:r>
            <w:r w:rsidR="000B2D1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ding this </w:t>
            </w:r>
            <w:r w:rsidR="000B2D14">
              <w:rPr>
                <w:rFonts w:asciiTheme="minorHAnsi" w:hAnsiTheme="minorHAnsi" w:cstheme="minorHAnsi"/>
                <w:sz w:val="22"/>
                <w:szCs w:val="22"/>
              </w:rPr>
              <w:t>shared ethos</w:t>
            </w:r>
          </w:p>
          <w:p w14:paraId="12FCDF04" w14:textId="77777777" w:rsidR="000B2D14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F38A9" w14:textId="66B4E760" w:rsidR="000B2D14" w:rsidRPr="00471C92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Secondary transition – time for class teachers, SENDCO, Pastoral team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B61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SLT</w:t>
            </w:r>
          </w:p>
          <w:p w14:paraId="785AB06D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Pastoral Team</w:t>
            </w:r>
          </w:p>
          <w:p w14:paraId="4A2F3DC8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SENDCO</w:t>
            </w:r>
          </w:p>
          <w:p w14:paraId="116208FC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Phase Leads </w:t>
            </w:r>
          </w:p>
          <w:p w14:paraId="2910E949" w14:textId="78FF7187" w:rsidR="0086003D" w:rsidRPr="00471C92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Classroom practitioners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F2F" w14:textId="3BC29699" w:rsidR="0086003D" w:rsidRPr="00471C92" w:rsidRDefault="008650C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1632B" w:rsidRPr="00527EE5" w14:paraId="20033129" w14:textId="77777777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859" w14:textId="06710DDE" w:rsidR="00D1632B" w:rsidRPr="00471C92" w:rsidRDefault="00D1632B" w:rsidP="006B5F02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471C92">
              <w:rPr>
                <w:rFonts w:asciiTheme="minorHAnsi" w:hAnsiTheme="minorHAnsi" w:cstheme="minorHAnsi"/>
                <w:b/>
                <w:highlight w:val="yellow"/>
              </w:rPr>
              <w:lastRenderedPageBreak/>
              <w:t>Leadership and Management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E4B" w14:textId="0F5E3639" w:rsidR="004A156B" w:rsidRPr="00684743" w:rsidRDefault="00332683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Lead Practitioner </w:t>
            </w:r>
            <w:r w:rsidR="009C6844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works alongside SLT to have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a clear and </w:t>
            </w:r>
            <w:r w:rsidR="004A156B" w:rsidRPr="0068474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ambitious vision for providing high-quality, inclusive education and training to all. This is realised through strong, shared values, policies and practice</w:t>
            </w:r>
            <w:r w:rsidR="009048C3" w:rsidRPr="0068474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173E8E11" w14:textId="0F110AAB" w:rsidR="00684743" w:rsidRPr="00684743" w:rsidRDefault="00332683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Practitioner</w:t>
            </w:r>
            <w:r w:rsidR="00684743" w:rsidRP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work closely </w:t>
            </w:r>
            <w:r w:rsid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Maths and English leaders </w:t>
            </w:r>
            <w:r w:rsidR="00684743" w:rsidRP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monitor pupil outcomes</w:t>
            </w:r>
            <w:r w:rsid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curriculum coverage. </w:t>
            </w:r>
          </w:p>
          <w:p w14:paraId="6890D10E" w14:textId="40F6D55D" w:rsidR="004A156B" w:rsidRPr="00C43C39" w:rsidRDefault="009C6844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Identify CPD needs for phase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focus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ing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on improving staff’s subject, pedagogical and pedagogical content knowledge to enhance the teaching of the curriculum and the appropriate use of assessment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45F846FA" w14:textId="73C92A86" w:rsidR="00684743" w:rsidRPr="00684743" w:rsidRDefault="00684743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Work alongside ECT mentors to support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ECTs within the phase</w:t>
            </w:r>
            <w:r w:rsidRPr="00684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teaching and learning, classroom environment, behaviour management and their ECT induction tasks.</w:t>
            </w:r>
          </w:p>
          <w:p w14:paraId="412907C7" w14:textId="4C11124F" w:rsidR="004A156B" w:rsidRPr="00C43C39" w:rsidRDefault="009C6844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All staff to feel valued and listened to. Phase lead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is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realistic and constructive in the way that they manage staff, including their workload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41D154BB" w14:textId="68916B3E" w:rsidR="00D1632B" w:rsidRPr="00C43C39" w:rsidRDefault="009C6844" w:rsidP="00C43C3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sz w:val="24"/>
                <w:szCs w:val="24"/>
              </w:rPr>
            </w:pP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Promote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safeguarding 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enabling the phase to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support effective arrangements to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identify learners</w:t>
            </w:r>
            <w:r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/adults</w:t>
            </w:r>
            <w:r w:rsidR="004A156B" w:rsidRPr="00C43C39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 xml:space="preserve"> who may need early help or who are at risk</w:t>
            </w:r>
            <w:r w:rsidR="009048C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7CE" w14:textId="77777777" w:rsidR="00D1632B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CPD needs as per cost</w:t>
            </w:r>
          </w:p>
          <w:p w14:paraId="39BAEE2F" w14:textId="77777777" w:rsidR="000B2D14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C5ED5" w14:textId="2BB3B7DF" w:rsidR="000B2D14" w:rsidRPr="00471C92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Parents evening and open afternoons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F02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SLT</w:t>
            </w:r>
          </w:p>
          <w:p w14:paraId="390DE9C9" w14:textId="77777777" w:rsidR="000B2D14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lead</w:t>
            </w:r>
          </w:p>
          <w:p w14:paraId="6DBEBD22" w14:textId="21B00972" w:rsidR="000B2D14" w:rsidRPr="00471C92" w:rsidRDefault="000B2D14" w:rsidP="000B2D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Manager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8F8" w14:textId="77777777" w:rsidR="00D1632B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Audits to take place termly</w:t>
            </w:r>
          </w:p>
          <w:p w14:paraId="76CE73E1" w14:textId="77777777" w:rsidR="000B2D14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135F7" w14:textId="77777777" w:rsidR="000B2D14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Weekly year group meetings</w:t>
            </w:r>
          </w:p>
          <w:p w14:paraId="496AC48D" w14:textId="24FBB7A7" w:rsidR="000B2D14" w:rsidRPr="00471C92" w:rsidRDefault="000B2D14" w:rsidP="00FA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B781EC" w14:textId="77777777" w:rsidR="000C4610" w:rsidRPr="00527EE5" w:rsidRDefault="000C4610" w:rsidP="004333F4">
      <w:pPr>
        <w:tabs>
          <w:tab w:val="left" w:pos="2265"/>
        </w:tabs>
        <w:rPr>
          <w:rFonts w:asciiTheme="minorHAnsi" w:hAnsiTheme="minorHAnsi" w:cstheme="minorHAnsi"/>
        </w:rPr>
      </w:pPr>
    </w:p>
    <w:sectPr w:rsidR="000C4610" w:rsidRPr="00527EE5" w:rsidSect="001864B2">
      <w:headerReference w:type="default" r:id="rId8"/>
      <w:footerReference w:type="default" r:id="rId9"/>
      <w:pgSz w:w="16839" w:h="11907" w:orient="landscape" w:code="9"/>
      <w:pgMar w:top="454" w:right="454" w:bottom="454" w:left="454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752A" w14:textId="77777777" w:rsidR="00FB575B" w:rsidRPr="00785559" w:rsidRDefault="00FB575B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endnote>
  <w:endnote w:type="continuationSeparator" w:id="0">
    <w:p w14:paraId="67F94DA0" w14:textId="77777777" w:rsidR="00FB575B" w:rsidRPr="00785559" w:rsidRDefault="00FB575B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F98" w14:textId="77777777" w:rsidR="0015687E" w:rsidRPr="00785559" w:rsidRDefault="0015687E">
    <w:pPr>
      <w:pStyle w:val="Footer"/>
      <w:rPr>
        <w:sz w:val="23"/>
        <w:szCs w:val="23"/>
      </w:rPr>
    </w:pPr>
    <w:r>
      <w:rPr>
        <w:noProof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C5935" wp14:editId="25770D5D">
              <wp:simplePos x="0" y="0"/>
              <wp:positionH relativeFrom="page">
                <wp:posOffset>2072640</wp:posOffset>
              </wp:positionH>
              <wp:positionV relativeFrom="margin">
                <wp:posOffset>5875655</wp:posOffset>
              </wp:positionV>
              <wp:extent cx="6740525" cy="504825"/>
              <wp:effectExtent l="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0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D830" w14:textId="77777777" w:rsidR="0015687E" w:rsidRDefault="0015687E" w:rsidP="00892FB9">
                          <w:pPr>
                            <w:pStyle w:val="Default0"/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3CAEB46E" w14:textId="77777777" w:rsidR="0015687E" w:rsidRDefault="0015687E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  <w:t>Excellence through effort and aspiration</w:t>
                          </w:r>
                        </w:p>
                        <w:p w14:paraId="154CB7B4" w14:textId="77777777" w:rsidR="0015687E" w:rsidRPr="00EF2AB8" w:rsidRDefault="0015687E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3042C4" w14:textId="77777777" w:rsidR="0015687E" w:rsidRPr="00756D00" w:rsidRDefault="0015687E" w:rsidP="008B2F8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5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pt;margin-top:462.65pt;width:530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" stroked="f">
              <v:textbox>
                <w:txbxContent>
                  <w:p w14:paraId="7A6CD830" w14:textId="77777777" w:rsidR="0015687E" w:rsidRDefault="0015687E" w:rsidP="00892FB9">
                    <w:pPr>
                      <w:pStyle w:val="Default0"/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</w:pPr>
                  </w:p>
                  <w:p w14:paraId="3CAEB46E" w14:textId="77777777" w:rsidR="0015687E" w:rsidRDefault="0015687E" w:rsidP="00EF2AB8">
                    <w:pPr>
                      <w:pStyle w:val="Default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  <w:t>Excellence through effort and aspiration</w:t>
                    </w:r>
                  </w:p>
                  <w:p w14:paraId="154CB7B4" w14:textId="77777777" w:rsidR="0015687E" w:rsidRPr="00EF2AB8" w:rsidRDefault="0015687E" w:rsidP="00EF2AB8">
                    <w:pPr>
                      <w:pStyle w:val="Default0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  <w:p w14:paraId="3B3042C4" w14:textId="77777777" w:rsidR="0015687E" w:rsidRPr="00756D00" w:rsidRDefault="0015687E" w:rsidP="008B2F87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7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FB575B">
      <w:rPr>
        <w:noProof/>
        <w:sz w:val="19"/>
        <w:szCs w:val="19"/>
        <w:lang w:eastAsia="en-GB"/>
      </w:rPr>
      <w:pict w14:anchorId="63486AB8">
        <v:rect id="_x0000_i1025" alt="" style="width:231.95pt;height:.05pt;flip:y;mso-width-percent:0;mso-height-percent:0;mso-width-percent:0;mso-height-percent:0" o:hrpct="514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7A7E" w14:textId="77777777" w:rsidR="00FB575B" w:rsidRPr="00785559" w:rsidRDefault="00FB575B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footnote>
  <w:footnote w:type="continuationSeparator" w:id="0">
    <w:p w14:paraId="69BB1D73" w14:textId="77777777" w:rsidR="00FB575B" w:rsidRPr="00785559" w:rsidRDefault="00FB575B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1"/>
    </w:tblGrid>
    <w:tr w:rsidR="0015687E" w:rsidRPr="00785559" w14:paraId="1EAF7243" w14:textId="77777777" w:rsidTr="00D876DA">
      <w:trPr>
        <w:trHeight w:val="637"/>
      </w:trPr>
      <w:tc>
        <w:tcPr>
          <w:tcW w:w="16161" w:type="dxa"/>
        </w:tcPr>
        <w:p w14:paraId="2FD226D3" w14:textId="6D4AC4E2" w:rsidR="0015687E" w:rsidRPr="00785559" w:rsidRDefault="0015687E">
          <w:pPr>
            <w:rPr>
              <w:noProof/>
              <w:sz w:val="19"/>
              <w:szCs w:val="19"/>
              <w:lang w:eastAsia="en-GB"/>
            </w:rPr>
          </w:pPr>
          <w:r>
            <w:rPr>
              <w:rFonts w:ascii="Calibri" w:hAnsi="Calibri" w:cs="Calibri"/>
              <w:b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0134DEA1" wp14:editId="644D7278">
                <wp:simplePos x="0" y="0"/>
                <wp:positionH relativeFrom="column">
                  <wp:posOffset>9402089</wp:posOffset>
                </wp:positionH>
                <wp:positionV relativeFrom="paragraph">
                  <wp:posOffset>-449084</wp:posOffset>
                </wp:positionV>
                <wp:extent cx="698500" cy="579120"/>
                <wp:effectExtent l="0" t="0" r="12700" b="5080"/>
                <wp:wrapThrough wrapText="bothSides">
                  <wp:wrapPolygon edited="0">
                    <wp:start x="0" y="0"/>
                    <wp:lineTo x="0" y="20842"/>
                    <wp:lineTo x="21207" y="20842"/>
                    <wp:lineTo x="21207" y="0"/>
                    <wp:lineTo x="0" y="0"/>
                  </wp:wrapPolygon>
                </wp:wrapThrough>
                <wp:docPr id="2" name="Picture 2" descr="../Desktop/Low%20Road%20&amp;%20Windmill%20MF%20Logo%2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Desktop/Low%20Road%20&amp;%20Windmill%20MF%20Logo%2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283CC1" w14:textId="6BF82886" w:rsidR="0015687E" w:rsidRPr="00735A15" w:rsidRDefault="00FD76A0" w:rsidP="00164AF0">
          <w:pPr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September 23</w:t>
          </w:r>
        </w:p>
      </w:tc>
    </w:tr>
  </w:tbl>
  <w:p w14:paraId="4BBF2604" w14:textId="77777777" w:rsidR="0015687E" w:rsidRPr="000C3A1F" w:rsidRDefault="0015687E">
    <w:pPr>
      <w:pStyle w:val="Header"/>
      <w:rPr>
        <w:rFonts w:ascii="Calibri" w:hAnsi="Calibri" w:cs="Calibri"/>
        <w:sz w:val="2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088519C7"/>
    <w:multiLevelType w:val="multilevel"/>
    <w:tmpl w:val="242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73E2D"/>
    <w:multiLevelType w:val="multilevel"/>
    <w:tmpl w:val="EF9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42C39"/>
    <w:multiLevelType w:val="multilevel"/>
    <w:tmpl w:val="69D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57F47"/>
    <w:multiLevelType w:val="hybridMultilevel"/>
    <w:tmpl w:val="5098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FFD"/>
    <w:multiLevelType w:val="hybridMultilevel"/>
    <w:tmpl w:val="8CEC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3CFE"/>
    <w:multiLevelType w:val="hybridMultilevel"/>
    <w:tmpl w:val="98AC6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0EDD"/>
    <w:multiLevelType w:val="multilevel"/>
    <w:tmpl w:val="C93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55332E"/>
    <w:multiLevelType w:val="hybridMultilevel"/>
    <w:tmpl w:val="6E42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D63FD"/>
    <w:multiLevelType w:val="hybridMultilevel"/>
    <w:tmpl w:val="58A8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3554"/>
    <w:multiLevelType w:val="multilevel"/>
    <w:tmpl w:val="E6588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45F92"/>
    <w:multiLevelType w:val="multilevel"/>
    <w:tmpl w:val="7A0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12A74"/>
    <w:multiLevelType w:val="hybridMultilevel"/>
    <w:tmpl w:val="15A82B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6D32865"/>
    <w:multiLevelType w:val="hybridMultilevel"/>
    <w:tmpl w:val="B68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7DB6"/>
    <w:multiLevelType w:val="hybridMultilevel"/>
    <w:tmpl w:val="024C6234"/>
    <w:lvl w:ilvl="0" w:tplc="08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5FFF7DFE"/>
    <w:multiLevelType w:val="hybridMultilevel"/>
    <w:tmpl w:val="95D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A590F"/>
    <w:multiLevelType w:val="multilevel"/>
    <w:tmpl w:val="B98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E95512"/>
    <w:multiLevelType w:val="hybridMultilevel"/>
    <w:tmpl w:val="5BC8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1193"/>
    <w:multiLevelType w:val="hybridMultilevel"/>
    <w:tmpl w:val="CCC2C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9505B"/>
    <w:multiLevelType w:val="hybridMultilevel"/>
    <w:tmpl w:val="025C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12E63"/>
    <w:multiLevelType w:val="hybridMultilevel"/>
    <w:tmpl w:val="8CD2D3A0"/>
    <w:lvl w:ilvl="0" w:tplc="08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1" w15:restartNumberingAfterBreak="0">
    <w:nsid w:val="77195DB3"/>
    <w:multiLevelType w:val="hybridMultilevel"/>
    <w:tmpl w:val="DB9A3F8C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7DCF3899"/>
    <w:multiLevelType w:val="multilevel"/>
    <w:tmpl w:val="E6588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766BE"/>
    <w:multiLevelType w:val="hybridMultilevel"/>
    <w:tmpl w:val="02584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166638">
    <w:abstractNumId w:val="19"/>
  </w:num>
  <w:num w:numId="2" w16cid:durableId="1036849479">
    <w:abstractNumId w:val="0"/>
  </w:num>
  <w:num w:numId="3" w16cid:durableId="1456950445">
    <w:abstractNumId w:val="5"/>
  </w:num>
  <w:num w:numId="4" w16cid:durableId="720404378">
    <w:abstractNumId w:val="12"/>
  </w:num>
  <w:num w:numId="5" w16cid:durableId="601688930">
    <w:abstractNumId w:val="8"/>
  </w:num>
  <w:num w:numId="6" w16cid:durableId="1993630734">
    <w:abstractNumId w:val="17"/>
  </w:num>
  <w:num w:numId="7" w16cid:durableId="1670056379">
    <w:abstractNumId w:val="2"/>
  </w:num>
  <w:num w:numId="8" w16cid:durableId="1698920610">
    <w:abstractNumId w:val="1"/>
  </w:num>
  <w:num w:numId="9" w16cid:durableId="1266157536">
    <w:abstractNumId w:val="11"/>
  </w:num>
  <w:num w:numId="10" w16cid:durableId="386152731">
    <w:abstractNumId w:val="16"/>
  </w:num>
  <w:num w:numId="11" w16cid:durableId="1352416276">
    <w:abstractNumId w:val="7"/>
  </w:num>
  <w:num w:numId="12" w16cid:durableId="2102023527">
    <w:abstractNumId w:val="3"/>
  </w:num>
  <w:num w:numId="13" w16cid:durableId="191305627">
    <w:abstractNumId w:val="13"/>
  </w:num>
  <w:num w:numId="14" w16cid:durableId="1140921446">
    <w:abstractNumId w:val="4"/>
  </w:num>
  <w:num w:numId="15" w16cid:durableId="739134978">
    <w:abstractNumId w:val="6"/>
  </w:num>
  <w:num w:numId="16" w16cid:durableId="1282760339">
    <w:abstractNumId w:val="22"/>
  </w:num>
  <w:num w:numId="17" w16cid:durableId="1573471101">
    <w:abstractNumId w:val="23"/>
  </w:num>
  <w:num w:numId="18" w16cid:durableId="108396591">
    <w:abstractNumId w:val="10"/>
  </w:num>
  <w:num w:numId="19" w16cid:durableId="1184199432">
    <w:abstractNumId w:val="9"/>
  </w:num>
  <w:num w:numId="20" w16cid:durableId="1732464213">
    <w:abstractNumId w:val="18"/>
  </w:num>
  <w:num w:numId="21" w16cid:durableId="2139182193">
    <w:abstractNumId w:val="14"/>
  </w:num>
  <w:num w:numId="22" w16cid:durableId="1345403425">
    <w:abstractNumId w:val="20"/>
  </w:num>
  <w:num w:numId="23" w16cid:durableId="1587029783">
    <w:abstractNumId w:val="21"/>
  </w:num>
  <w:num w:numId="24" w16cid:durableId="18579476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1"/>
    <w:rsid w:val="00001C4A"/>
    <w:rsid w:val="00002347"/>
    <w:rsid w:val="00005045"/>
    <w:rsid w:val="00005AC6"/>
    <w:rsid w:val="00012E36"/>
    <w:rsid w:val="00014B95"/>
    <w:rsid w:val="0001799F"/>
    <w:rsid w:val="00023582"/>
    <w:rsid w:val="0002453A"/>
    <w:rsid w:val="000257D8"/>
    <w:rsid w:val="0003264E"/>
    <w:rsid w:val="00033743"/>
    <w:rsid w:val="00034F63"/>
    <w:rsid w:val="00040F7F"/>
    <w:rsid w:val="00043A83"/>
    <w:rsid w:val="00043BD6"/>
    <w:rsid w:val="00043D65"/>
    <w:rsid w:val="00045B97"/>
    <w:rsid w:val="00046487"/>
    <w:rsid w:val="00046A77"/>
    <w:rsid w:val="00050E95"/>
    <w:rsid w:val="0005630A"/>
    <w:rsid w:val="000573B3"/>
    <w:rsid w:val="00057D1C"/>
    <w:rsid w:val="00064668"/>
    <w:rsid w:val="00074743"/>
    <w:rsid w:val="000773C8"/>
    <w:rsid w:val="000777C1"/>
    <w:rsid w:val="00081B25"/>
    <w:rsid w:val="00081EED"/>
    <w:rsid w:val="00085BD2"/>
    <w:rsid w:val="00097E82"/>
    <w:rsid w:val="000A0852"/>
    <w:rsid w:val="000A281A"/>
    <w:rsid w:val="000B2D14"/>
    <w:rsid w:val="000B4641"/>
    <w:rsid w:val="000B6C50"/>
    <w:rsid w:val="000B74FE"/>
    <w:rsid w:val="000C02AF"/>
    <w:rsid w:val="000C3A1F"/>
    <w:rsid w:val="000C4610"/>
    <w:rsid w:val="000D0F61"/>
    <w:rsid w:val="000D402D"/>
    <w:rsid w:val="000D49E7"/>
    <w:rsid w:val="000D6C53"/>
    <w:rsid w:val="000D75AF"/>
    <w:rsid w:val="000E3739"/>
    <w:rsid w:val="000F14C5"/>
    <w:rsid w:val="000F5AF7"/>
    <w:rsid w:val="00102C32"/>
    <w:rsid w:val="001117FE"/>
    <w:rsid w:val="001166FA"/>
    <w:rsid w:val="001243FD"/>
    <w:rsid w:val="00130D6C"/>
    <w:rsid w:val="00134BB4"/>
    <w:rsid w:val="001423FA"/>
    <w:rsid w:val="00144835"/>
    <w:rsid w:val="001466F9"/>
    <w:rsid w:val="00146F41"/>
    <w:rsid w:val="0015687E"/>
    <w:rsid w:val="00164AF0"/>
    <w:rsid w:val="00170EC1"/>
    <w:rsid w:val="00182537"/>
    <w:rsid w:val="001864B2"/>
    <w:rsid w:val="001951CF"/>
    <w:rsid w:val="00196B84"/>
    <w:rsid w:val="001A18FE"/>
    <w:rsid w:val="001A1F27"/>
    <w:rsid w:val="001A2417"/>
    <w:rsid w:val="001A2F65"/>
    <w:rsid w:val="001A7F78"/>
    <w:rsid w:val="001B1FE1"/>
    <w:rsid w:val="001B36D4"/>
    <w:rsid w:val="001B6B6F"/>
    <w:rsid w:val="001C13CE"/>
    <w:rsid w:val="001C5002"/>
    <w:rsid w:val="001C5219"/>
    <w:rsid w:val="001C553D"/>
    <w:rsid w:val="001C78EE"/>
    <w:rsid w:val="001D066C"/>
    <w:rsid w:val="001D34E9"/>
    <w:rsid w:val="001D7173"/>
    <w:rsid w:val="001D7BFC"/>
    <w:rsid w:val="001E1E99"/>
    <w:rsid w:val="001E2E10"/>
    <w:rsid w:val="001F0DBC"/>
    <w:rsid w:val="001F1D4B"/>
    <w:rsid w:val="001F3CCA"/>
    <w:rsid w:val="00203DF9"/>
    <w:rsid w:val="002040A0"/>
    <w:rsid w:val="00214A5E"/>
    <w:rsid w:val="00227EF1"/>
    <w:rsid w:val="00230069"/>
    <w:rsid w:val="00232F06"/>
    <w:rsid w:val="0023497D"/>
    <w:rsid w:val="0023785F"/>
    <w:rsid w:val="00242C0A"/>
    <w:rsid w:val="00242D77"/>
    <w:rsid w:val="00250204"/>
    <w:rsid w:val="0025306C"/>
    <w:rsid w:val="00254438"/>
    <w:rsid w:val="00255471"/>
    <w:rsid w:val="00261BD7"/>
    <w:rsid w:val="00262203"/>
    <w:rsid w:val="00264E02"/>
    <w:rsid w:val="00270CB9"/>
    <w:rsid w:val="0027143A"/>
    <w:rsid w:val="00271AC9"/>
    <w:rsid w:val="00277866"/>
    <w:rsid w:val="00286F73"/>
    <w:rsid w:val="00292672"/>
    <w:rsid w:val="0029500C"/>
    <w:rsid w:val="002979F0"/>
    <w:rsid w:val="002B0DDB"/>
    <w:rsid w:val="002B4635"/>
    <w:rsid w:val="002C4AEF"/>
    <w:rsid w:val="002C6C82"/>
    <w:rsid w:val="002E0A9D"/>
    <w:rsid w:val="002E2502"/>
    <w:rsid w:val="002F0186"/>
    <w:rsid w:val="002F29B8"/>
    <w:rsid w:val="002F3D5C"/>
    <w:rsid w:val="00305AD5"/>
    <w:rsid w:val="0030786B"/>
    <w:rsid w:val="00310358"/>
    <w:rsid w:val="00310B87"/>
    <w:rsid w:val="00314276"/>
    <w:rsid w:val="00322D9B"/>
    <w:rsid w:val="003276C2"/>
    <w:rsid w:val="003307CB"/>
    <w:rsid w:val="00330C97"/>
    <w:rsid w:val="0033214E"/>
    <w:rsid w:val="00332683"/>
    <w:rsid w:val="003343B8"/>
    <w:rsid w:val="003351B5"/>
    <w:rsid w:val="003401AC"/>
    <w:rsid w:val="003425E2"/>
    <w:rsid w:val="0036006D"/>
    <w:rsid w:val="0036267D"/>
    <w:rsid w:val="00370804"/>
    <w:rsid w:val="00371D36"/>
    <w:rsid w:val="00373D0C"/>
    <w:rsid w:val="003779AB"/>
    <w:rsid w:val="003853C5"/>
    <w:rsid w:val="003901C0"/>
    <w:rsid w:val="00392806"/>
    <w:rsid w:val="003930F3"/>
    <w:rsid w:val="003A4C91"/>
    <w:rsid w:val="003B390A"/>
    <w:rsid w:val="003B72D1"/>
    <w:rsid w:val="003C0B0F"/>
    <w:rsid w:val="003C6438"/>
    <w:rsid w:val="003D5A53"/>
    <w:rsid w:val="003D65D3"/>
    <w:rsid w:val="003E737E"/>
    <w:rsid w:val="003F1E24"/>
    <w:rsid w:val="003F5392"/>
    <w:rsid w:val="003F7334"/>
    <w:rsid w:val="003F765C"/>
    <w:rsid w:val="00410843"/>
    <w:rsid w:val="004160A5"/>
    <w:rsid w:val="004227AA"/>
    <w:rsid w:val="00423D9A"/>
    <w:rsid w:val="00423EEF"/>
    <w:rsid w:val="0042426F"/>
    <w:rsid w:val="00426627"/>
    <w:rsid w:val="0042795B"/>
    <w:rsid w:val="00431125"/>
    <w:rsid w:val="00431CA0"/>
    <w:rsid w:val="004333F4"/>
    <w:rsid w:val="00436495"/>
    <w:rsid w:val="0043716D"/>
    <w:rsid w:val="0044189A"/>
    <w:rsid w:val="00452C6B"/>
    <w:rsid w:val="00453F41"/>
    <w:rsid w:val="00461737"/>
    <w:rsid w:val="00471C92"/>
    <w:rsid w:val="004766FA"/>
    <w:rsid w:val="0048159A"/>
    <w:rsid w:val="00482CB5"/>
    <w:rsid w:val="0048565F"/>
    <w:rsid w:val="00486F18"/>
    <w:rsid w:val="004872BC"/>
    <w:rsid w:val="00487EC8"/>
    <w:rsid w:val="00487F2A"/>
    <w:rsid w:val="0049060C"/>
    <w:rsid w:val="00490BAA"/>
    <w:rsid w:val="00492A29"/>
    <w:rsid w:val="00492E4E"/>
    <w:rsid w:val="004930C8"/>
    <w:rsid w:val="004953E0"/>
    <w:rsid w:val="00497903"/>
    <w:rsid w:val="004A156B"/>
    <w:rsid w:val="004A276D"/>
    <w:rsid w:val="004A7718"/>
    <w:rsid w:val="004B2837"/>
    <w:rsid w:val="004C13D7"/>
    <w:rsid w:val="004C1CC2"/>
    <w:rsid w:val="004C7361"/>
    <w:rsid w:val="004E1212"/>
    <w:rsid w:val="004E557B"/>
    <w:rsid w:val="004E64D5"/>
    <w:rsid w:val="004F478B"/>
    <w:rsid w:val="004F7751"/>
    <w:rsid w:val="004F799D"/>
    <w:rsid w:val="00503A1F"/>
    <w:rsid w:val="005105E5"/>
    <w:rsid w:val="00510A30"/>
    <w:rsid w:val="00510BC3"/>
    <w:rsid w:val="0051365B"/>
    <w:rsid w:val="00513B18"/>
    <w:rsid w:val="00527EE5"/>
    <w:rsid w:val="00533DC8"/>
    <w:rsid w:val="005366CD"/>
    <w:rsid w:val="005429D7"/>
    <w:rsid w:val="00542C79"/>
    <w:rsid w:val="005440B7"/>
    <w:rsid w:val="005524E9"/>
    <w:rsid w:val="00554E3B"/>
    <w:rsid w:val="005563E7"/>
    <w:rsid w:val="00562FB6"/>
    <w:rsid w:val="005721F2"/>
    <w:rsid w:val="00582707"/>
    <w:rsid w:val="0058285A"/>
    <w:rsid w:val="00584195"/>
    <w:rsid w:val="00590EAA"/>
    <w:rsid w:val="00594850"/>
    <w:rsid w:val="00597200"/>
    <w:rsid w:val="00597CD5"/>
    <w:rsid w:val="005B2202"/>
    <w:rsid w:val="005B39DD"/>
    <w:rsid w:val="005B6231"/>
    <w:rsid w:val="005C2EF9"/>
    <w:rsid w:val="005C5D14"/>
    <w:rsid w:val="005D6C98"/>
    <w:rsid w:val="005E5B72"/>
    <w:rsid w:val="005F0F7B"/>
    <w:rsid w:val="005F1E25"/>
    <w:rsid w:val="005F28C5"/>
    <w:rsid w:val="005F57C3"/>
    <w:rsid w:val="005F7057"/>
    <w:rsid w:val="00604334"/>
    <w:rsid w:val="00615523"/>
    <w:rsid w:val="00616CCB"/>
    <w:rsid w:val="00621FDE"/>
    <w:rsid w:val="00631C10"/>
    <w:rsid w:val="00632B49"/>
    <w:rsid w:val="00640D11"/>
    <w:rsid w:val="00643C4F"/>
    <w:rsid w:val="006454CE"/>
    <w:rsid w:val="00647269"/>
    <w:rsid w:val="006526E0"/>
    <w:rsid w:val="00652AC7"/>
    <w:rsid w:val="00653056"/>
    <w:rsid w:val="006532B5"/>
    <w:rsid w:val="00665CB6"/>
    <w:rsid w:val="00672BBE"/>
    <w:rsid w:val="006745E7"/>
    <w:rsid w:val="00684743"/>
    <w:rsid w:val="00687D9F"/>
    <w:rsid w:val="00697060"/>
    <w:rsid w:val="006975D4"/>
    <w:rsid w:val="006A4384"/>
    <w:rsid w:val="006B083F"/>
    <w:rsid w:val="006B34F0"/>
    <w:rsid w:val="006B4222"/>
    <w:rsid w:val="006B54A4"/>
    <w:rsid w:val="006B5F02"/>
    <w:rsid w:val="006C121B"/>
    <w:rsid w:val="006C2494"/>
    <w:rsid w:val="006C5451"/>
    <w:rsid w:val="006C547C"/>
    <w:rsid w:val="006D0AE7"/>
    <w:rsid w:val="006D136C"/>
    <w:rsid w:val="006D1C5D"/>
    <w:rsid w:val="006D3E97"/>
    <w:rsid w:val="006D4D4A"/>
    <w:rsid w:val="006D7EFE"/>
    <w:rsid w:val="006E4D9D"/>
    <w:rsid w:val="006E723F"/>
    <w:rsid w:val="006E7395"/>
    <w:rsid w:val="006F0F2E"/>
    <w:rsid w:val="006F2155"/>
    <w:rsid w:val="006F3C48"/>
    <w:rsid w:val="0070149D"/>
    <w:rsid w:val="00701872"/>
    <w:rsid w:val="007034C6"/>
    <w:rsid w:val="00703FFB"/>
    <w:rsid w:val="00704772"/>
    <w:rsid w:val="00711CE3"/>
    <w:rsid w:val="00723D54"/>
    <w:rsid w:val="00731E35"/>
    <w:rsid w:val="00734183"/>
    <w:rsid w:val="00735A15"/>
    <w:rsid w:val="00737082"/>
    <w:rsid w:val="00737165"/>
    <w:rsid w:val="00740084"/>
    <w:rsid w:val="00742331"/>
    <w:rsid w:val="007462E2"/>
    <w:rsid w:val="00754627"/>
    <w:rsid w:val="00756D00"/>
    <w:rsid w:val="00764207"/>
    <w:rsid w:val="00772EEA"/>
    <w:rsid w:val="00775A37"/>
    <w:rsid w:val="007806FA"/>
    <w:rsid w:val="00780BDA"/>
    <w:rsid w:val="00781DEC"/>
    <w:rsid w:val="00784663"/>
    <w:rsid w:val="00785117"/>
    <w:rsid w:val="00785559"/>
    <w:rsid w:val="007919CA"/>
    <w:rsid w:val="007A094A"/>
    <w:rsid w:val="007A1AED"/>
    <w:rsid w:val="007B0F87"/>
    <w:rsid w:val="007B1F1F"/>
    <w:rsid w:val="007B2539"/>
    <w:rsid w:val="007B3959"/>
    <w:rsid w:val="007D0204"/>
    <w:rsid w:val="007D03CD"/>
    <w:rsid w:val="007D4598"/>
    <w:rsid w:val="007D546F"/>
    <w:rsid w:val="007D5C6C"/>
    <w:rsid w:val="007E2438"/>
    <w:rsid w:val="007E6327"/>
    <w:rsid w:val="007E6790"/>
    <w:rsid w:val="007E6872"/>
    <w:rsid w:val="007F5E8B"/>
    <w:rsid w:val="008051F2"/>
    <w:rsid w:val="0080594B"/>
    <w:rsid w:val="0082310F"/>
    <w:rsid w:val="008268E9"/>
    <w:rsid w:val="00831AC9"/>
    <w:rsid w:val="00831B3A"/>
    <w:rsid w:val="008372AC"/>
    <w:rsid w:val="00842BB7"/>
    <w:rsid w:val="00842BBD"/>
    <w:rsid w:val="0085218E"/>
    <w:rsid w:val="00852674"/>
    <w:rsid w:val="0085361F"/>
    <w:rsid w:val="0086003D"/>
    <w:rsid w:val="00862F26"/>
    <w:rsid w:val="008650C4"/>
    <w:rsid w:val="00866AAF"/>
    <w:rsid w:val="00874EB4"/>
    <w:rsid w:val="00892FB9"/>
    <w:rsid w:val="00895C57"/>
    <w:rsid w:val="00895D7A"/>
    <w:rsid w:val="008B2F87"/>
    <w:rsid w:val="008B6356"/>
    <w:rsid w:val="008B736E"/>
    <w:rsid w:val="008C2334"/>
    <w:rsid w:val="008C5552"/>
    <w:rsid w:val="008D5124"/>
    <w:rsid w:val="008D516E"/>
    <w:rsid w:val="008D6CDD"/>
    <w:rsid w:val="008E124B"/>
    <w:rsid w:val="008E3D08"/>
    <w:rsid w:val="008E6322"/>
    <w:rsid w:val="008E7005"/>
    <w:rsid w:val="008E7913"/>
    <w:rsid w:val="008F1912"/>
    <w:rsid w:val="008F2E56"/>
    <w:rsid w:val="008F4DD2"/>
    <w:rsid w:val="008F7695"/>
    <w:rsid w:val="0090255B"/>
    <w:rsid w:val="009043D6"/>
    <w:rsid w:val="009048C3"/>
    <w:rsid w:val="00904EBA"/>
    <w:rsid w:val="00905CFF"/>
    <w:rsid w:val="00906DF4"/>
    <w:rsid w:val="00907E50"/>
    <w:rsid w:val="00916047"/>
    <w:rsid w:val="009203F0"/>
    <w:rsid w:val="0092275A"/>
    <w:rsid w:val="009276D7"/>
    <w:rsid w:val="00927795"/>
    <w:rsid w:val="00932EDA"/>
    <w:rsid w:val="009333C7"/>
    <w:rsid w:val="009355A6"/>
    <w:rsid w:val="00941FD4"/>
    <w:rsid w:val="0094725B"/>
    <w:rsid w:val="00952026"/>
    <w:rsid w:val="009575B5"/>
    <w:rsid w:val="009575E6"/>
    <w:rsid w:val="00961611"/>
    <w:rsid w:val="00963591"/>
    <w:rsid w:val="009756ED"/>
    <w:rsid w:val="00983934"/>
    <w:rsid w:val="00984E2E"/>
    <w:rsid w:val="009859F4"/>
    <w:rsid w:val="00994246"/>
    <w:rsid w:val="00997EA1"/>
    <w:rsid w:val="009A4019"/>
    <w:rsid w:val="009A6F01"/>
    <w:rsid w:val="009B3E20"/>
    <w:rsid w:val="009C63C2"/>
    <w:rsid w:val="009C6844"/>
    <w:rsid w:val="009D1AA0"/>
    <w:rsid w:val="009D56BA"/>
    <w:rsid w:val="009E3835"/>
    <w:rsid w:val="009E63AE"/>
    <w:rsid w:val="009F61B6"/>
    <w:rsid w:val="00A01014"/>
    <w:rsid w:val="00A03246"/>
    <w:rsid w:val="00A20759"/>
    <w:rsid w:val="00A46671"/>
    <w:rsid w:val="00A46CC0"/>
    <w:rsid w:val="00A567B5"/>
    <w:rsid w:val="00A621AE"/>
    <w:rsid w:val="00A64FC0"/>
    <w:rsid w:val="00A664AC"/>
    <w:rsid w:val="00A8345A"/>
    <w:rsid w:val="00A84974"/>
    <w:rsid w:val="00A85FAB"/>
    <w:rsid w:val="00A863BF"/>
    <w:rsid w:val="00A911C5"/>
    <w:rsid w:val="00A96BA4"/>
    <w:rsid w:val="00AA4C5D"/>
    <w:rsid w:val="00AB7C64"/>
    <w:rsid w:val="00AC170C"/>
    <w:rsid w:val="00AC36B8"/>
    <w:rsid w:val="00AC3A1A"/>
    <w:rsid w:val="00AC3FDE"/>
    <w:rsid w:val="00AC51EF"/>
    <w:rsid w:val="00AC658F"/>
    <w:rsid w:val="00AD7F12"/>
    <w:rsid w:val="00AE7799"/>
    <w:rsid w:val="00AE7C54"/>
    <w:rsid w:val="00AF2D93"/>
    <w:rsid w:val="00AF4097"/>
    <w:rsid w:val="00B01121"/>
    <w:rsid w:val="00B011EA"/>
    <w:rsid w:val="00B03ABB"/>
    <w:rsid w:val="00B045D7"/>
    <w:rsid w:val="00B05A04"/>
    <w:rsid w:val="00B077AD"/>
    <w:rsid w:val="00B139EF"/>
    <w:rsid w:val="00B152D2"/>
    <w:rsid w:val="00B15B53"/>
    <w:rsid w:val="00B26916"/>
    <w:rsid w:val="00B401D6"/>
    <w:rsid w:val="00B413AA"/>
    <w:rsid w:val="00B41A59"/>
    <w:rsid w:val="00B45B31"/>
    <w:rsid w:val="00B47AF0"/>
    <w:rsid w:val="00B53578"/>
    <w:rsid w:val="00B557CE"/>
    <w:rsid w:val="00B55F61"/>
    <w:rsid w:val="00B62729"/>
    <w:rsid w:val="00B70075"/>
    <w:rsid w:val="00B761F3"/>
    <w:rsid w:val="00B76F04"/>
    <w:rsid w:val="00B8314E"/>
    <w:rsid w:val="00B865F1"/>
    <w:rsid w:val="00B90EC6"/>
    <w:rsid w:val="00B954E9"/>
    <w:rsid w:val="00B97D9C"/>
    <w:rsid w:val="00BA460F"/>
    <w:rsid w:val="00BB5EC6"/>
    <w:rsid w:val="00BB7058"/>
    <w:rsid w:val="00BD434B"/>
    <w:rsid w:val="00BD5337"/>
    <w:rsid w:val="00BD7CC2"/>
    <w:rsid w:val="00BE4597"/>
    <w:rsid w:val="00BE653E"/>
    <w:rsid w:val="00BF3719"/>
    <w:rsid w:val="00BF70F1"/>
    <w:rsid w:val="00C01A10"/>
    <w:rsid w:val="00C0737A"/>
    <w:rsid w:val="00C26526"/>
    <w:rsid w:val="00C376EC"/>
    <w:rsid w:val="00C43C39"/>
    <w:rsid w:val="00C45B42"/>
    <w:rsid w:val="00C45B7B"/>
    <w:rsid w:val="00C65D04"/>
    <w:rsid w:val="00C807D4"/>
    <w:rsid w:val="00C8622C"/>
    <w:rsid w:val="00C92354"/>
    <w:rsid w:val="00C94F01"/>
    <w:rsid w:val="00CA53C6"/>
    <w:rsid w:val="00CA6E7E"/>
    <w:rsid w:val="00CB1703"/>
    <w:rsid w:val="00CB4FCA"/>
    <w:rsid w:val="00CB7E31"/>
    <w:rsid w:val="00CC1A4D"/>
    <w:rsid w:val="00CC30CE"/>
    <w:rsid w:val="00CC5885"/>
    <w:rsid w:val="00CD060C"/>
    <w:rsid w:val="00CD14DB"/>
    <w:rsid w:val="00CE33F4"/>
    <w:rsid w:val="00CE6121"/>
    <w:rsid w:val="00CF081A"/>
    <w:rsid w:val="00CF11C6"/>
    <w:rsid w:val="00D07335"/>
    <w:rsid w:val="00D1183E"/>
    <w:rsid w:val="00D11A8D"/>
    <w:rsid w:val="00D14C1B"/>
    <w:rsid w:val="00D1632B"/>
    <w:rsid w:val="00D17E69"/>
    <w:rsid w:val="00D227EC"/>
    <w:rsid w:val="00D27AE0"/>
    <w:rsid w:val="00D31593"/>
    <w:rsid w:val="00D321A1"/>
    <w:rsid w:val="00D37678"/>
    <w:rsid w:val="00D44867"/>
    <w:rsid w:val="00D452BB"/>
    <w:rsid w:val="00D45F25"/>
    <w:rsid w:val="00D74787"/>
    <w:rsid w:val="00D74A92"/>
    <w:rsid w:val="00D838FC"/>
    <w:rsid w:val="00D85192"/>
    <w:rsid w:val="00D876DA"/>
    <w:rsid w:val="00D90727"/>
    <w:rsid w:val="00D96DA9"/>
    <w:rsid w:val="00DA0568"/>
    <w:rsid w:val="00DA175D"/>
    <w:rsid w:val="00DA4E14"/>
    <w:rsid w:val="00DB0DC4"/>
    <w:rsid w:val="00DB1122"/>
    <w:rsid w:val="00DB49B0"/>
    <w:rsid w:val="00DC31C8"/>
    <w:rsid w:val="00DC5C91"/>
    <w:rsid w:val="00DD2AE6"/>
    <w:rsid w:val="00DD2C3B"/>
    <w:rsid w:val="00DE05B5"/>
    <w:rsid w:val="00DE5CF9"/>
    <w:rsid w:val="00DE6B27"/>
    <w:rsid w:val="00E0670C"/>
    <w:rsid w:val="00E13B19"/>
    <w:rsid w:val="00E27D0E"/>
    <w:rsid w:val="00E314D9"/>
    <w:rsid w:val="00E33E6A"/>
    <w:rsid w:val="00E37DCF"/>
    <w:rsid w:val="00E42968"/>
    <w:rsid w:val="00E43125"/>
    <w:rsid w:val="00E4439E"/>
    <w:rsid w:val="00E534DE"/>
    <w:rsid w:val="00E537BE"/>
    <w:rsid w:val="00E61412"/>
    <w:rsid w:val="00E61AF2"/>
    <w:rsid w:val="00E64784"/>
    <w:rsid w:val="00E74507"/>
    <w:rsid w:val="00E74DF0"/>
    <w:rsid w:val="00E76F20"/>
    <w:rsid w:val="00E810E0"/>
    <w:rsid w:val="00E81617"/>
    <w:rsid w:val="00E84137"/>
    <w:rsid w:val="00E926F0"/>
    <w:rsid w:val="00E95C97"/>
    <w:rsid w:val="00EB6929"/>
    <w:rsid w:val="00EB6F05"/>
    <w:rsid w:val="00EC148F"/>
    <w:rsid w:val="00EC4758"/>
    <w:rsid w:val="00EC65D2"/>
    <w:rsid w:val="00EC798F"/>
    <w:rsid w:val="00ED0168"/>
    <w:rsid w:val="00ED4B43"/>
    <w:rsid w:val="00EF0DFC"/>
    <w:rsid w:val="00EF1CB9"/>
    <w:rsid w:val="00EF1CCA"/>
    <w:rsid w:val="00EF2AB8"/>
    <w:rsid w:val="00EF382D"/>
    <w:rsid w:val="00EF3B8A"/>
    <w:rsid w:val="00EF7947"/>
    <w:rsid w:val="00F02A19"/>
    <w:rsid w:val="00F06BF2"/>
    <w:rsid w:val="00F0770D"/>
    <w:rsid w:val="00F16807"/>
    <w:rsid w:val="00F179E7"/>
    <w:rsid w:val="00F244F1"/>
    <w:rsid w:val="00F26B02"/>
    <w:rsid w:val="00F30BA3"/>
    <w:rsid w:val="00F317A6"/>
    <w:rsid w:val="00F37CE6"/>
    <w:rsid w:val="00F51229"/>
    <w:rsid w:val="00F52487"/>
    <w:rsid w:val="00F52884"/>
    <w:rsid w:val="00F55716"/>
    <w:rsid w:val="00F57AFB"/>
    <w:rsid w:val="00F57C5F"/>
    <w:rsid w:val="00F624EA"/>
    <w:rsid w:val="00F641AA"/>
    <w:rsid w:val="00F646E2"/>
    <w:rsid w:val="00F65CF9"/>
    <w:rsid w:val="00F727E8"/>
    <w:rsid w:val="00F759BE"/>
    <w:rsid w:val="00F813DA"/>
    <w:rsid w:val="00F85696"/>
    <w:rsid w:val="00FA533B"/>
    <w:rsid w:val="00FA7E59"/>
    <w:rsid w:val="00FB226A"/>
    <w:rsid w:val="00FB575B"/>
    <w:rsid w:val="00FB739A"/>
    <w:rsid w:val="00FB7D26"/>
    <w:rsid w:val="00FC2F38"/>
    <w:rsid w:val="00FC7343"/>
    <w:rsid w:val="00FD2C06"/>
    <w:rsid w:val="00FD4535"/>
    <w:rsid w:val="00FD5B0A"/>
    <w:rsid w:val="00FD705A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44039"/>
  <w15:docId w15:val="{2BEBCDE1-3A4B-1345-B03A-457D9FF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paragraph" w:styleId="Subtitle">
    <w:name w:val="Subtitle"/>
    <w:basedOn w:val="Normal"/>
    <w:qFormat/>
    <w:rPr>
      <w:rFonts w:ascii="Arial" w:hAnsi="Arial"/>
      <w:b/>
      <w:szCs w:val="20"/>
    </w:rPr>
  </w:style>
  <w:style w:type="paragraph" w:styleId="BodyTextIndent">
    <w:name w:val="Body Text Indent"/>
    <w:basedOn w:val="Normal"/>
    <w:semiHidden/>
    <w:pPr>
      <w:ind w:left="3261"/>
    </w:pPr>
    <w:rPr>
      <w:i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3">
    <w:name w:val="Body Text 3"/>
    <w:basedOn w:val="Normal"/>
    <w:semiHidden/>
    <w:rPr>
      <w:sz w:val="22"/>
      <w:szCs w:val="20"/>
    </w:rPr>
  </w:style>
  <w:style w:type="paragraph" w:styleId="BodyTextIndent2">
    <w:name w:val="Body Text Indent 2"/>
    <w:basedOn w:val="Normal"/>
    <w:semiHidden/>
    <w:pPr>
      <w:ind w:left="317" w:hanging="317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Impact" w:eastAsia="Symbol" w:hAnsi="Impact" w:cs="Impact"/>
      <w:color w:val="800080"/>
      <w:sz w:val="64"/>
      <w:szCs w:val="20"/>
    </w:rPr>
  </w:style>
  <w:style w:type="paragraph" w:customStyle="1" w:styleId="default">
    <w:name w:val="default"/>
    <w:basedOn w:val="Normal"/>
    <w:rsid w:val="0048565F"/>
    <w:pPr>
      <w:autoSpaceDE w:val="0"/>
      <w:autoSpaceDN w:val="0"/>
    </w:pPr>
    <w:rPr>
      <w:rFonts w:ascii="Arial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25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652AC7"/>
    <w:rPr>
      <w:rFonts w:ascii="Times New Roman" w:eastAsia="Times New Roman" w:hAnsi="Times New Roman"/>
      <w:lang w:eastAsia="en-US"/>
    </w:rPr>
  </w:style>
  <w:style w:type="paragraph" w:customStyle="1" w:styleId="Default0">
    <w:name w:val="Default"/>
    <w:rsid w:val="00EF2A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Tabletextbullet">
    <w:name w:val="Table text bullet"/>
    <w:basedOn w:val="Normal"/>
    <w:rsid w:val="006B34F0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xmsonormal">
    <w:name w:val="x_msonormal"/>
    <w:basedOn w:val="Normal"/>
    <w:rsid w:val="009333C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4760-606E-44F0-ABA4-ECA3585D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the vision</vt:lpstr>
    </vt:vector>
  </TitlesOfParts>
  <Company>Snapethorpe Primary School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vision</dc:title>
  <dc:creator>Mark Randall</dc:creator>
  <cp:lastModifiedBy>Microsoft Office User</cp:lastModifiedBy>
  <cp:revision>2</cp:revision>
  <cp:lastPrinted>2014-08-26T13:51:00Z</cp:lastPrinted>
  <dcterms:created xsi:type="dcterms:W3CDTF">2023-09-25T12:54:00Z</dcterms:created>
  <dcterms:modified xsi:type="dcterms:W3CDTF">2023-09-25T12:54:00Z</dcterms:modified>
</cp:coreProperties>
</file>